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REGISTRATION STATEMENT PURSUANT TO SECTION 12(b) OR (g) OF THE SECURITIES ACT OF 1934</w:t>
      </w:r>
    </w:p>
    <w:p>
      <w:pPr>
        <w:spacing w:after="0" w:line="1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OR</w:t>
      </w:r>
    </w:p>
    <w:p>
      <w:pPr>
        <w:spacing w:after="0" w:line="116" w:lineRule="exact"/>
        <w:rPr>
          <w:sz w:val="24"/>
          <w:szCs w:val="24"/>
          <w:color w:val="auto"/>
        </w:rPr>
      </w:pPr>
    </w:p>
    <w:p>
      <w:pPr>
        <w:ind w:left="540" w:right="80" w:hanging="424"/>
        <w:spacing w:after="0" w:line="256"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OR</w:t>
      </w:r>
    </w:p>
    <w:p>
      <w:pPr>
        <w:spacing w:after="0" w:line="116" w:lineRule="exact"/>
        <w:rPr>
          <w:sz w:val="24"/>
          <w:szCs w:val="24"/>
          <w:color w:val="auto"/>
        </w:rPr>
      </w:pPr>
    </w:p>
    <w:p>
      <w:pPr>
        <w:ind w:left="540" w:right="440" w:hanging="424"/>
        <w:spacing w:after="0" w:line="256" w:lineRule="auto"/>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63" w:lineRule="exact"/>
        <w:rPr>
          <w:sz w:val="24"/>
          <w:szCs w:val="24"/>
          <w:color w:val="auto"/>
        </w:rPr>
      </w:pPr>
    </w:p>
    <w:p>
      <w:pPr>
        <w:jc w:val="right"/>
        <w:ind w:right="410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4498975</wp:posOffset>
            </wp:positionH>
            <wp:positionV relativeFrom="paragraph">
              <wp:posOffset>-7620</wp:posOffset>
            </wp:positionV>
            <wp:extent cx="571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4"/>
          <w:szCs w:val="24"/>
          <w:color w:val="auto"/>
        </w:rPr>
      </w:pPr>
    </w:p>
    <w:p>
      <w:pPr>
        <w:jc w:val="right"/>
        <w:ind w:right="4120"/>
        <w:spacing w:after="0"/>
        <w:rPr>
          <w:sz w:val="20"/>
          <w:szCs w:val="20"/>
          <w:color w:val="auto"/>
        </w:rPr>
      </w:pPr>
      <w:r>
        <w:rPr>
          <w:rFonts w:ascii="Arial" w:cs="Arial" w:eastAsia="Arial" w:hAnsi="Arial"/>
          <w:sz w:val="18"/>
          <w:szCs w:val="18"/>
          <w:b w:val="1"/>
          <w:bCs w:val="1"/>
          <w:color w:val="auto"/>
        </w:rPr>
        <w:t>Commission file number: 001-39316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Burning Rock Biotech Limited</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Cayman Islands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601, 6/F, Building 3, Standard Industrial Unit 2</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 7, Luoxuan 4th Road, International Bio Island, Guangzhou, 510005</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The People’s Republic of China</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Mr. Leo Li, Chief Financial Officer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Telephone: +86 020-3403 7871 Email: leo.li@brbiotech.com</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601, 6/F, Building 3, Standard Industrial Unit 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 7, Luoxuan 4th Road, International Bio Island, Guangzhou, 510005</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The People’s Republic of China</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11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American depositary shares, each representing</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BNR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29"/>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one Class A ordinary share</w:t>
            </w: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 par value US$0.0002</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4"/>
          <w:szCs w:val="24"/>
          <w:color w:val="auto"/>
        </w:rPr>
      </w:pPr>
    </w:p>
    <w:p>
      <w:pPr>
        <w:ind w:left="540" w:hanging="424"/>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for trading, but only in connection with the listing of the Nasdaq Global Market of American depositary shares.</w:t>
      </w:r>
    </w:p>
    <w:p>
      <w:pPr>
        <w:spacing w:after="0" w:line="113" w:lineRule="exact"/>
        <w:rPr>
          <w:rFonts w:ascii="Arial" w:cs="Arial" w:eastAsia="Arial" w:hAnsi="Arial"/>
          <w:sz w:val="18"/>
          <w:szCs w:val="18"/>
          <w:color w:val="auto"/>
        </w:rPr>
      </w:pPr>
    </w:p>
    <w:p>
      <w:pPr>
        <w:ind w:left="2720"/>
        <w:spacing w:after="0"/>
        <w:rPr>
          <w:rFonts w:ascii="Arial" w:cs="Arial" w:eastAsia="Arial" w:hAnsi="Arial"/>
          <w:sz w:val="18"/>
          <w:szCs w:val="18"/>
          <w:color w:val="auto"/>
        </w:rPr>
      </w:pPr>
      <w:r>
        <w:rPr>
          <w:rFonts w:ascii="Arial" w:cs="Arial" w:eastAsia="Arial" w:hAnsi="Arial"/>
          <w:sz w:val="18"/>
          <w:szCs w:val="18"/>
          <w:b w:val="1"/>
          <w:bCs w:val="1"/>
          <w:color w:val="auto"/>
        </w:rPr>
        <w:t>Securities registered or to be registered pursuant to Section 12(g) of the Act.</w:t>
      </w:r>
    </w:p>
    <w:p>
      <w:pPr>
        <w:spacing w:after="0" w:line="126"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None</w:t>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w:t>
      </w:r>
    </w:p>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126"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None</w:t>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61" w:orient="portrait"/>
          <w:cols w:equalWidth="0" w:num="1">
            <w:col w:w="11140"/>
          </w:cols>
          <w:pgMar w:left="320" w:top="230" w:right="439" w:bottom="0" w:gutter="0" w:footer="0" w:header="0"/>
        </w:sectPr>
      </w:pPr>
    </w:p>
    <w:p>
      <w:pPr>
        <w:spacing w:after="0" w:line="331" w:lineRule="exact"/>
        <w:rPr>
          <w:sz w:val="24"/>
          <w:szCs w:val="24"/>
          <w:color w:val="auto"/>
        </w:rPr>
      </w:pPr>
    </w:p>
    <w:p>
      <w:pPr>
        <w:ind w:left="120" w:right="100"/>
        <w:spacing w:after="0" w:line="342" w:lineRule="auto"/>
        <w:rPr>
          <w:sz w:val="20"/>
          <w:szCs w:val="20"/>
          <w:color w:val="auto"/>
        </w:rPr>
      </w:pPr>
      <w:r>
        <w:rPr>
          <w:rFonts w:ascii="Arial" w:cs="Arial" w:eastAsia="Arial" w:hAnsi="Arial"/>
          <w:sz w:val="16"/>
          <w:szCs w:val="16"/>
          <w:color w:val="auto"/>
        </w:rPr>
        <w:t>Indicate the number of issued and outstanding shares of each of the issuer’s classes of capital or common stock as of the close of the period covered by the annual report: 87,223,641 Class A ordinary shares (excluding the 670,191 Class A ordinary shares issued to the depositary bank for bulk issuance of</w:t>
      </w:r>
    </w:p>
    <w:p>
      <w:pPr>
        <w:sectPr>
          <w:pgSz w:w="11900" w:h="16861" w:orient="portrait"/>
          <w:cols w:equalWidth="0" w:num="1">
            <w:col w:w="11140"/>
          </w:cols>
          <w:pgMar w:left="320" w:top="230" w:right="439" w:bottom="0" w:gutter="0" w:footer="0" w:header="0"/>
          <w:type w:val="continuous"/>
        </w:sectPr>
      </w:pPr>
    </w:p>
    <w:bookmarkStart w:id="1" w:name="page2"/>
    <w:bookmarkEnd w:id="1"/>
    <w:p>
      <w:pPr>
        <w:ind w:left="4" w:right="60"/>
        <w:spacing w:after="0" w:line="277" w:lineRule="auto"/>
        <w:rPr>
          <w:sz w:val="20"/>
          <w:szCs w:val="20"/>
          <w:color w:val="auto"/>
        </w:rPr>
      </w:pPr>
      <w:r>
        <w:rPr>
          <w:rFonts w:ascii="Arial" w:cs="Arial" w:eastAsia="Arial" w:hAnsi="Arial"/>
          <w:sz w:val="18"/>
          <w:szCs w:val="18"/>
          <w:color w:val="auto"/>
        </w:rPr>
        <w:t>ADSs reserved for future issuances upon the exercise or vesting of awards granted under share incentive plans) and 17,324,848 Class B ordinary shares, par value US$0.0001 per share, as of December 31, 2020.</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84" w:lineRule="exact"/>
        <w:rPr>
          <w:sz w:val="20"/>
          <w:szCs w:val="20"/>
          <w:color w:val="auto"/>
        </w:rPr>
      </w:pPr>
    </w:p>
    <w:p>
      <w:pPr>
        <w:ind w:left="9864"/>
        <w:spacing w:after="0" w:line="207" w:lineRule="exact"/>
        <w:tabs>
          <w:tab w:leader="none" w:pos="10524"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150"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30" w:lineRule="exact"/>
        <w:rPr>
          <w:sz w:val="20"/>
          <w:szCs w:val="20"/>
          <w:color w:val="auto"/>
        </w:rPr>
      </w:pPr>
    </w:p>
    <w:p>
      <w:pPr>
        <w:ind w:left="9864"/>
        <w:spacing w:after="0" w:line="207" w:lineRule="exact"/>
        <w:tabs>
          <w:tab w:leader="none" w:pos="10524"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150"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62"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0"/>
          <w:szCs w:val="20"/>
          <w:color w:val="auto"/>
        </w:rPr>
      </w:pPr>
    </w:p>
    <w:p>
      <w:pPr>
        <w:ind w:left="9864"/>
        <w:spacing w:after="0" w:line="207" w:lineRule="exact"/>
        <w:tabs>
          <w:tab w:leader="none" w:pos="10524"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150"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43" w:lineRule="exact"/>
        <w:rPr>
          <w:sz w:val="20"/>
          <w:szCs w:val="20"/>
          <w:color w:val="auto"/>
        </w:rPr>
      </w:pPr>
    </w:p>
    <w:p>
      <w:pPr>
        <w:ind w:left="9864"/>
        <w:spacing w:after="0" w:line="207" w:lineRule="exact"/>
        <w:tabs>
          <w:tab w:leader="none" w:pos="10524"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the definitions of “large accelerated filer,” “accelerated filer,” and “emerging growth company” in Rule 12b-2 of the Exchange Act.</w:t>
      </w:r>
    </w:p>
    <w:p>
      <w:pPr>
        <w:sectPr>
          <w:pgSz w:w="11900" w:h="16838" w:orient="portrait"/>
          <w:cols w:equalWidth="0" w:num="1">
            <w:col w:w="11024"/>
          </w:cols>
          <w:pgMar w:left="436" w:top="125" w:right="439" w:bottom="1440" w:gutter="0" w:footer="0" w:header="0"/>
        </w:sectPr>
      </w:pPr>
    </w:p>
    <w:p>
      <w:pPr>
        <w:spacing w:after="0" w:line="116" w:lineRule="exact"/>
        <w:rPr>
          <w:sz w:val="20"/>
          <w:szCs w:val="20"/>
          <w:color w:val="auto"/>
        </w:rPr>
      </w:pPr>
    </w:p>
    <w:p>
      <w:pPr>
        <w:ind w:left="4"/>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6">
            <w:col w:w="1624" w:space="720"/>
            <w:col w:w="1800" w:space="720"/>
            <w:col w:w="1220" w:space="100"/>
            <w:col w:w="1580" w:space="720"/>
            <w:col w:w="1600" w:space="720"/>
            <w:col w:w="220"/>
          </w:cols>
          <w:pgMar w:left="436" w:top="125" w:right="439" w:bottom="1440" w:gutter="0" w:footer="0" w:header="0"/>
          <w:type w:val="continuous"/>
        </w:sectPr>
      </w:pPr>
    </w:p>
    <w:p>
      <w:pPr>
        <w:spacing w:after="0" w:line="33" w:lineRule="exact"/>
        <w:rPr>
          <w:sz w:val="20"/>
          <w:szCs w:val="20"/>
          <w:color w:val="auto"/>
        </w:rPr>
      </w:pPr>
    </w:p>
    <w:p>
      <w:pPr>
        <w:ind w:left="8484"/>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6" w:lineRule="exact"/>
        <w:rPr>
          <w:sz w:val="20"/>
          <w:szCs w:val="20"/>
          <w:color w:val="auto"/>
        </w:rPr>
      </w:pPr>
    </w:p>
    <w:p>
      <w:pPr>
        <w:sectPr>
          <w:pgSz w:w="11900" w:h="16838" w:orient="portrait"/>
          <w:cols w:equalWidth="0" w:num="2">
            <w:col w:w="10464" w:space="340"/>
            <w:col w:w="220"/>
          </w:cols>
          <w:pgMar w:left="436" w:top="125" w:right="439" w:bottom="1440" w:gutter="0" w:footer="0" w:header="0"/>
          <w:type w:val="continuous"/>
        </w:sectPr>
      </w:pPr>
    </w:p>
    <w:p>
      <w:pPr>
        <w:ind w:left="4" w:right="2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8"/>
          <w:szCs w:val="18"/>
          <w:color w:val="auto"/>
        </w:rPr>
        <w:t>☐</w:t>
      </w:r>
    </w:p>
    <w:p>
      <w:pPr>
        <w:spacing w:after="0" w:line="76" w:lineRule="exact"/>
        <w:rPr>
          <w:sz w:val="20"/>
          <w:szCs w:val="20"/>
          <w:color w:val="auto"/>
        </w:rPr>
      </w:pPr>
    </w:p>
    <w:p>
      <w:pPr>
        <w:ind w:left="4" w:right="240" w:hanging="4"/>
        <w:spacing w:after="0" w:line="277" w:lineRule="auto"/>
        <w:tabs>
          <w:tab w:leader="none" w:pos="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62" w:lineRule="exact"/>
        <w:rPr>
          <w:sz w:val="20"/>
          <w:szCs w:val="20"/>
          <w:color w:val="auto"/>
        </w:rPr>
      </w:pPr>
    </w:p>
    <w:p>
      <w:pPr>
        <w:ind w:left="4"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accountant firm that prepared or issued its audit report.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024"/>
          </w:cols>
          <w:pgMar w:left="436" w:top="125" w:right="439" w:bottom="1440" w:gutter="0" w:footer="0" w:header="0"/>
          <w:type w:val="continuous"/>
        </w:sectPr>
      </w:pPr>
    </w:p>
    <w:p>
      <w:pPr>
        <w:spacing w:after="0" w:line="131" w:lineRule="exact"/>
        <w:rPr>
          <w:sz w:val="20"/>
          <w:szCs w:val="20"/>
          <w:color w:val="auto"/>
        </w:rPr>
      </w:pPr>
    </w:p>
    <w:p>
      <w:pPr>
        <w:ind w:left="4"/>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13" w:lineRule="exact"/>
        <w:rPr>
          <w:sz w:val="20"/>
          <w:szCs w:val="20"/>
          <w:color w:val="auto"/>
        </w:rPr>
      </w:pPr>
    </w:p>
    <w:p>
      <w:pPr>
        <w:sectPr>
          <w:pgSz w:w="11900" w:h="16838" w:orient="portrait"/>
          <w:cols w:equalWidth="0" w:num="6">
            <w:col w:w="864" w:space="80"/>
            <w:col w:w="1040" w:space="720"/>
            <w:col w:w="4420" w:space="720"/>
            <w:col w:w="1800" w:space="720"/>
            <w:col w:w="400" w:space="100"/>
            <w:col w:w="160"/>
          </w:cols>
          <w:pgMar w:left="436" w:top="125" w:right="439" w:bottom="1440" w:gutter="0" w:footer="0" w:header="0"/>
          <w:type w:val="continuous"/>
        </w:sectPr>
      </w:pPr>
    </w:p>
    <w:p>
      <w:pPr>
        <w:ind w:left="4" w:right="360"/>
        <w:spacing w:after="0" w:line="277"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w:t>
      </w:r>
    </w:p>
    <w:p>
      <w:pPr>
        <w:spacing w:after="0" w:line="30" w:lineRule="exact"/>
        <w:rPr>
          <w:sz w:val="20"/>
          <w:szCs w:val="20"/>
          <w:color w:val="auto"/>
        </w:rPr>
      </w:pPr>
    </w:p>
    <w:p>
      <w:pPr>
        <w:jc w:val="right"/>
        <w:spacing w:after="0" w:line="207" w:lineRule="exact"/>
        <w:tabs>
          <w:tab w:leader="none" w:pos="8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Item 17</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Item 18</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p>
    <w:p>
      <w:pPr>
        <w:spacing w:after="0" w:line="96" w:lineRule="exact"/>
        <w:rPr>
          <w:sz w:val="20"/>
          <w:szCs w:val="20"/>
          <w:color w:val="auto"/>
        </w:rPr>
      </w:pPr>
    </w:p>
    <w:p>
      <w:pPr>
        <w:ind w:left="9864"/>
        <w:spacing w:after="0" w:line="207" w:lineRule="exact"/>
        <w:tabs>
          <w:tab w:leader="none" w:pos="10524"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8"/>
          <w:szCs w:val="18"/>
          <w:color w:val="auto"/>
        </w:rPr>
        <w:t>(APPLICABLE ONLY TO ISSUERS INVOLVED IN BANKRUPTCY PROCEEDINGS DURING THE PAST FIVE YEARS)</w:t>
      </w:r>
    </w:p>
    <w:p>
      <w:pPr>
        <w:spacing w:after="0" w:line="117" w:lineRule="exact"/>
        <w:rPr>
          <w:sz w:val="20"/>
          <w:szCs w:val="20"/>
          <w:color w:val="auto"/>
        </w:rPr>
      </w:pPr>
    </w:p>
    <w:p>
      <w:pPr>
        <w:ind w:left="4" w:right="540"/>
        <w:spacing w:after="0" w:line="233"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5"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vMerge w:val="restart"/>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PART I</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0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 IDENTITY OF DIRECTORS, SENIOR MANAGEMENT AND ADVISERS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2. OFFER STATISTICS AND EXPECTED TIMETABLE</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3. KEY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4. INFORMATION ON THE COMPANY</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4A. UNRESOLVED STAFF COMMENTS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5. OPERATING AND FINANCIAL REVIEW AND PROSPECTS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ITEM 6. DIRECTORS, SENIOR MANAGEMENT AND EMPLOYEES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ITEM 7. MAJOR SHAREHOLDERS AND RELATED PARTY TRANSACTIONS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ITEM 8. FINANCIAL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ITEM 9. THE OFFER AND LISTING</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ITEM 10. ADDITIONAL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ITEM 11. 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ITEM 12. DESCRIPTION OF SECURITIES OTHER THAN EQUITY SECURITIES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b w:val="1"/>
                <w:bCs w:val="1"/>
                <w:u w:val="single" w:color="auto"/>
                <w:color w:val="0000EE"/>
              </w:rPr>
            </w:pPr>
            <w:hyperlink w:anchor="page126">
              <w:r>
                <w:rPr>
                  <w:rFonts w:ascii="Arial" w:cs="Arial" w:eastAsia="Arial" w:hAnsi="Arial"/>
                  <w:sz w:val="18"/>
                  <w:szCs w:val="18"/>
                  <w:b w:val="1"/>
                  <w:bCs w:val="1"/>
                  <w:u w:val="single" w:color="auto"/>
                  <w:color w:val="0000EE"/>
                </w:rPr>
                <w:t>PART 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ITEM 13. DEFAULTS, DIVIDEND ARREARAGES AND DELINQUENCIES.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ITEM 14. MATERIAL MODIFICATIONS TO THE RIGHTS OF SECURITY HOLDERS AND USE OF PROCEEDS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ITEM 15. 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ITEM 16A. AUDIT COMMITTEE FINANCIAL EXPERT</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ITEM 16B. CODE OF ETHICS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ITEM 16C. PRINCIPAL ACCOUNTANT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ITEM 16D. EXEMPTIONS FROM THE LISTING STANDARDS FOR AUDIT COMMITTEES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ITEM 16E. PURCHASES OF EQUITY SECURITIES BY THE ISSUER AND AFFI LIATED PURCHASERS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ITEM 16F. CHANGE IN REGISTRANT’S CERTIFYING ACCOUNTANT</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ITEM 16G.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ITEM 16H. MINE SAFETY DISCLOSURE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b w:val="1"/>
                <w:bCs w:val="1"/>
                <w:u w:val="single" w:color="auto"/>
                <w:color w:val="0000EE"/>
              </w:rPr>
            </w:pPr>
            <w:hyperlink w:anchor="page130">
              <w:r>
                <w:rPr>
                  <w:rFonts w:ascii="Arial" w:cs="Arial" w:eastAsia="Arial" w:hAnsi="Arial"/>
                  <w:sz w:val="18"/>
                  <w:szCs w:val="18"/>
                  <w:b w:val="1"/>
                  <w:bCs w:val="1"/>
                  <w:u w:val="single" w:color="auto"/>
                  <w:color w:val="0000EE"/>
                </w:rPr>
                <w:t>PART III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ITEM 17. 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ITEM 18. 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324"/>
        </w:trPr>
        <w:tc>
          <w:tcPr>
            <w:tcW w:w="10640" w:type="dxa"/>
            <w:vAlign w:val="bottom"/>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ITEM 19. EXHIBITS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365"/>
        </w:trPr>
        <w:tc>
          <w:tcPr>
            <w:tcW w:w="10640" w:type="dxa"/>
            <w:vAlign w:val="bottom"/>
          </w:tcPr>
          <w:p>
            <w:pPr>
              <w:ind w:left="548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CONVENTIONS THAT APPLY TO THIS ANNUAL REPORT ON FORM 20-F</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indicated and except where the context otherwise requires, references in this annual report on Form 20-F to:</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“ADSs” refer to American depositary shares, each of which represents one Class A ordinary share;</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“Burning Rock,” “we,” “us,” “our company” and “our” refer to Burning Rock Biotech Limited, a Cayman Islands exempted company, and its subsidiaries and consolidated affiliated entities;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“China” or “the PRC” refers to the People’s Republic of China, excluding, for the purposes of this annual report only, Hong Kong, Macau and Taiwan;</w:t>
      </w:r>
    </w:p>
    <w:p>
      <w:pPr>
        <w:spacing w:after="0" w:line="75"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“liquid biopsy” refers to a test done on a blood sample that enables the access to the molecular information, by looking for cancer cells from a tumor that are circulating in the blood or for pieces of DNA from tumor cells that are in the blood, throughout all stages of cancer;</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“NGS” refers to next-generation sequencing, a DNA sequencing technology used to determine the nucleotide sequence of an individual’s genome;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“sensitivity” refers to the percentage of people who test positive for a specific disease or condition among people who actually have the disease or condition;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or “ordinary shares” refer to our Class A and Class B ordinary shares, par value US$0.0002 per share;</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“specificity” refers to the percentage of people who test negative for a specific disease or condition among people who do not have the disease or condition;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GAAP” refers to accounting principles generally accepted in the 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“U.S. dollars,” “$,” and “dollars” refer to the legal currency of the U.S.</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reporting currency is the Renminbi. This annual report also contains translations of certain foreign currency amounts into U.S. dollars for the convenience of the reader. Unless otherwise stated, all translations from Renminbi to U.S. dollars were made at a rate of RMB6.5250 to US$1.00, the exchange rate set forth in the H.10 statistical release of the Board of Governors of the Federal Reserve System on December 31, 2020. We make no representation that any Renminbi or U.S. dollar amounts referred to in this annual report could have been or could be converted into U.S. dollars or Renminbi, as the case may be, at any particular rate, or at all. On March 12, 2021, the exchange rate set forth in the H.10 statistical release of the Federal Reserve Board was RMB6.5081 to US$1.00.</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All of our share related numbers contained in this annual report, including but not limited to the numbers of authorized, issued and outstanding shares, have retroactively reflected the 2-for-1 reverse share split that we effected in January 2020.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This annual report on Form 20-F contains statements of a forward-looking nature. All statements other than statements of current or historical facts are forward-looking statements. These forward-looking statements are made under the “safe harbor” provision under Section 21E of the Securities Exchange Act of 1934, as amended, or the Exchange Act, and as defined in the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w:t>
      </w:r>
    </w:p>
    <w:p>
      <w:pPr>
        <w:spacing w:after="0" w:line="17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77"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mission and strategies;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and competition in China’s cancer genotyping industry;</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cancer therapy selection products and services and our ability to expand our customer base;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protections for our cancer therapy selection technologies and our continued research and development to keep pace with technology developments;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from the NMPA, the NCCL and have our laboratory certified or accredited by authorities including the CLIA and the CAP;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financing cost-effectively;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changes of government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maintain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relationship with our major business partners and customers;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and business conditions in China and elsewhere.</w:t>
      </w:r>
    </w:p>
    <w:p>
      <w:pPr>
        <w:spacing w:after="0" w:line="22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You should read these statements in conjunction with the risks disclosed in “Item 3. Key Information—D. Risk Factors” of this annual report and other risks outlined in our other filings with the Securities and Exchange Commission, or the SEC. Moreover, we operate in an emerging and evolving environment. New risks may emerge from time to time, and it is not possible for our management to predict all risks, nor can we assess the impact of such risks on our business or the extent to which any risk, or combination of risks, may cause actual results to differ materially from those contained in any forward-looking statements. The forward-looking statements made in this annual report relate only to events or information as of the date on which the statements are made in this annual report. Except as required by law, we undertake no obligation to update any forward-looking statements to reflect events or circumstances after the date on which the statements are made or to reflect the occurrence of unanticipated events. You should read this annual report and the documents that we have referred to in this annual report, completely and with the understanding that our actual future results may be materially different from what we expect.</w:t>
      </w: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560" w:right="4000"/>
        <w:spacing w:after="0" w:line="407" w:lineRule="auto"/>
        <w:rPr>
          <w:sz w:val="20"/>
          <w:szCs w:val="20"/>
          <w:color w:val="auto"/>
        </w:rPr>
      </w:pPr>
      <w:r>
        <w:rPr>
          <w:rFonts w:ascii="Arial" w:cs="Arial" w:eastAsia="Arial" w:hAnsi="Arial"/>
          <w:sz w:val="18"/>
          <w:szCs w:val="18"/>
          <w:b w:val="1"/>
          <w:bCs w:val="1"/>
          <w:color w:val="auto"/>
        </w:rPr>
        <w:t xml:space="preserve">ITEM 1. IDENTITY OF DIRECTORS, SENIOR MANAGEMENT AND ADVISERS </w:t>
      </w:r>
      <w:r>
        <w:rPr>
          <w:rFonts w:ascii="Arial" w:cs="Arial" w:eastAsia="Arial" w:hAnsi="Arial"/>
          <w:sz w:val="18"/>
          <w:szCs w:val="18"/>
          <w:color w:val="auto"/>
        </w:rPr>
        <w:t>Not applicable.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3. KEY INFORMATION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Selected Financial Data</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following selected consolidated statements of comprehensive loss data and selected consolidated statements of cash flow data for the years ended December 31, 2018, 2019 and 2020, and selected consolidated balance sheets data as of December 31, 2019 and 2020 have been derived from our audited consolidated financial statements included elsewhere in this annual report. The selected consolidated statements of comprehensive loss data and selected consolidated statements of cash flow data for the year ended December 31, 2017, and the selected consolidated balance sheet data as of December 31, 2018 have been derived from our audited consolidated financial statements that are not included in this annual report. Our consolidated financial statements are prepared and presented in accordance with U.S. GAAP. Our historical results are not necessarily indicative of results expected for future periods. You should read this section together with our consolidated financial statements and the related notes and “Item 5. Operating and Financial Review and Prospects” included elsewhere in this annual report.</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w w:val="91"/>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c>
          <w:tcPr>
            <w:tcW w:w="102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RMB</w:t>
            </w:r>
          </w:p>
        </w:tc>
        <w:tc>
          <w:tcPr>
            <w:tcW w:w="5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780" w:type="dxa"/>
            <w:vAlign w:val="bottom"/>
            <w:gridSpan w:val="9"/>
          </w:tcPr>
          <w:p>
            <w:pPr>
              <w:jc w:val="center"/>
              <w:ind w:left="494"/>
              <w:spacing w:after="0" w:line="142" w:lineRule="exact"/>
              <w:rPr>
                <w:sz w:val="20"/>
                <w:szCs w:val="20"/>
                <w:color w:val="auto"/>
              </w:rPr>
            </w:pPr>
            <w:r>
              <w:rPr>
                <w:rFonts w:ascii="Arial" w:cs="Arial" w:eastAsia="Arial" w:hAnsi="Arial"/>
                <w:sz w:val="14"/>
                <w:szCs w:val="14"/>
                <w:b w:val="1"/>
                <w:bCs w:val="1"/>
                <w:color w:val="auto"/>
                <w:w w:val="91"/>
              </w:rPr>
              <w:t>(in thousands, except for per share and share data)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Selected Consolidated Statements of Comprehensive Loss Data:</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080" w:type="dxa"/>
            <w:vAlign w:val="bottom"/>
            <w:gridSpan w:val="3"/>
          </w:tcPr>
          <w:p>
            <w:pPr>
              <w:jc w:val="right"/>
              <w:ind w:right="141"/>
              <w:spacing w:after="0"/>
              <w:rPr>
                <w:sz w:val="20"/>
                <w:szCs w:val="20"/>
                <w:color w:val="auto"/>
              </w:rPr>
            </w:pPr>
            <w:r>
              <w:rPr>
                <w:rFonts w:ascii="Arial" w:cs="Arial" w:eastAsia="Arial" w:hAnsi="Arial"/>
                <w:sz w:val="18"/>
                <w:szCs w:val="18"/>
                <w:color w:val="auto"/>
              </w:rPr>
              <w:t>111,166</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208,867</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381,677</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429,903</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65,885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0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(39,470)</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(73,808)</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(108,343)</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(115,981)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(17,775)</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71,696</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135,059</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273,334</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313,922</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80" w:type="dxa"/>
            <w:vAlign w:val="bottom"/>
            <w:gridSpan w:val="3"/>
          </w:tcPr>
          <w:p>
            <w:pPr>
              <w:jc w:val="right"/>
              <w:ind w:right="81"/>
              <w:spacing w:after="0"/>
              <w:rPr>
                <w:sz w:val="20"/>
                <w:szCs w:val="20"/>
                <w:color w:val="auto"/>
              </w:rPr>
            </w:pPr>
            <w:r>
              <w:rPr>
                <w:rFonts w:ascii="Arial" w:cs="Arial" w:eastAsia="Arial" w:hAnsi="Arial"/>
                <w:sz w:val="18"/>
                <w:szCs w:val="18"/>
                <w:color w:val="auto"/>
              </w:rPr>
              <w:t>(49,022)</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(105,299)</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(156,935)</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(263,940)</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(40,451)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0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(67,505)</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(102,857)</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(153,334)</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(168,587)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(25,837)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(76,036)</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(88,299)</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(132,157)</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(293,800)</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(45,027)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(192,563)</w:t>
            </w:r>
          </w:p>
        </w:tc>
        <w:tc>
          <w:tcPr>
            <w:tcW w:w="3560" w:type="dxa"/>
            <w:vAlign w:val="bottom"/>
            <w:gridSpan w:val="9"/>
            <w:shd w:val="clear" w:color="auto" w:fill="CCEEFF"/>
          </w:tcPr>
          <w:p>
            <w:pPr>
              <w:jc w:val="right"/>
              <w:ind w:right="60"/>
              <w:spacing w:after="0"/>
              <w:rPr>
                <w:sz w:val="20"/>
                <w:szCs w:val="20"/>
                <w:color w:val="auto"/>
              </w:rPr>
            </w:pPr>
            <w:r>
              <w:rPr>
                <w:rFonts w:ascii="Arial" w:cs="Arial" w:eastAsia="Arial" w:hAnsi="Arial"/>
                <w:sz w:val="18"/>
                <w:szCs w:val="18"/>
                <w:color w:val="auto"/>
                <w:w w:val="98"/>
              </w:rPr>
              <w:t>(296,455)   (442,426)   (726,327)   (111,315)</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(120,867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(161,396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(169,092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(412,405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(63,205)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0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(9,861)</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(16,612)</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2,172</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5,401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expense, net</w:t>
            </w:r>
          </w:p>
        </w:tc>
        <w:tc>
          <w:tcPr>
            <w:tcW w:w="2080" w:type="dxa"/>
            <w:vAlign w:val="bottom"/>
            <w:gridSpan w:val="3"/>
          </w:tcPr>
          <w:p>
            <w:pPr>
              <w:jc w:val="right"/>
              <w:ind w:right="81"/>
              <w:spacing w:after="0"/>
              <w:rPr>
                <w:sz w:val="20"/>
                <w:szCs w:val="20"/>
                <w:color w:val="auto"/>
              </w:rPr>
            </w:pPr>
            <w:r>
              <w:rPr>
                <w:rFonts w:ascii="Arial" w:cs="Arial" w:eastAsia="Arial" w:hAnsi="Arial"/>
                <w:sz w:val="18"/>
                <w:szCs w:val="18"/>
                <w:color w:val="auto"/>
              </w:rPr>
              <w:t>(32)</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(488)</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(883)</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 net</w:t>
            </w:r>
          </w:p>
        </w:tc>
        <w:tc>
          <w:tcPr>
            <w:tcW w:w="20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(515)</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999</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1,486</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(2,839)</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1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(131,275)</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(177,497)</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(169,156)</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(407,235)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(62,412)</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Income tax expenses</w:t>
            </w:r>
          </w:p>
        </w:tc>
        <w:tc>
          <w:tcPr>
            <w:tcW w:w="1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(131,275)</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(177,497)</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(169,156)</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(407,235)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(62,412)</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w w:val="90"/>
              </w:rPr>
              <w:t>Net loss attributable to Burning Rock Biotech Limited’s shareholders</w:t>
            </w:r>
          </w:p>
        </w:tc>
        <w:tc>
          <w:tcPr>
            <w:tcW w:w="1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(131,275)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(177,497)</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(169,156)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(407,235)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(62,412)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shares</w:t>
            </w:r>
          </w:p>
        </w:tc>
        <w:tc>
          <w:tcPr>
            <w:tcW w:w="20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(53,276)</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(54,849)</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(165,011)</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(64,688)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(9,914)</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Net loss attributable to ordinary shareholders</w:t>
            </w:r>
          </w:p>
        </w:tc>
        <w:tc>
          <w:tcPr>
            <w:tcW w:w="1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(184,551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(232,346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(334,167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(471,923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(72,326)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for class A and class B ordinary shares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Ordinary shares—basic and diluted</w:t>
            </w:r>
          </w:p>
        </w:tc>
        <w:tc>
          <w:tcPr>
            <w:tcW w:w="2080" w:type="dxa"/>
            <w:vAlign w:val="bottom"/>
            <w:gridSpan w:val="3"/>
          </w:tcPr>
          <w:p>
            <w:pPr>
              <w:jc w:val="right"/>
              <w:ind w:right="81"/>
              <w:spacing w:after="0"/>
              <w:rPr>
                <w:sz w:val="20"/>
                <w:szCs w:val="20"/>
                <w:color w:val="auto"/>
              </w:rPr>
            </w:pPr>
            <w:r>
              <w:rPr>
                <w:rFonts w:ascii="Arial" w:cs="Arial" w:eastAsia="Arial" w:hAnsi="Arial"/>
                <w:sz w:val="18"/>
                <w:szCs w:val="18"/>
                <w:color w:val="auto"/>
              </w:rPr>
              <w:t>(10.20)</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(10.38)</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(14.23)</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5380" w:type="dxa"/>
            <w:vAlign w:val="bottom"/>
          </w:tcPr>
          <w:p>
            <w:pPr>
              <w:spacing w:after="0"/>
              <w:rPr>
                <w:sz w:val="24"/>
                <w:szCs w:val="24"/>
                <w:color w:val="auto"/>
              </w:rPr>
            </w:pPr>
          </w:p>
        </w:tc>
        <w:tc>
          <w:tcPr>
            <w:tcW w:w="1160" w:type="dxa"/>
            <w:vAlign w:val="bottom"/>
          </w:tcPr>
          <w:p>
            <w:pPr>
              <w:jc w:val="right"/>
              <w:ind w:right="91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5"/>
          </w:tcPr>
          <w:p>
            <w:pPr>
              <w:jc w:val="center"/>
              <w:ind w:right="95"/>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880" w:type="dxa"/>
            <w:vAlign w:val="bottom"/>
          </w:tcPr>
          <w:p>
            <w:pPr>
              <w:spacing w:after="0"/>
              <w:rPr>
                <w:sz w:val="12"/>
                <w:szCs w:val="12"/>
                <w:color w:val="auto"/>
              </w:rPr>
            </w:pPr>
          </w:p>
        </w:tc>
        <w:tc>
          <w:tcPr>
            <w:tcW w:w="86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980" w:type="dxa"/>
            <w:vAlign w:val="bottom"/>
            <w:gridSpan w:val="2"/>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6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86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RMB</w:t>
            </w: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8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for per share and share data)</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 basic and diluted</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(6.88)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Class B ordinary shares – basic and diluted</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5"/>
              <w:spacing w:after="0"/>
              <w:rPr>
                <w:sz w:val="20"/>
                <w:szCs w:val="20"/>
                <w:color w:val="auto"/>
              </w:rPr>
            </w:pPr>
            <w:r>
              <w:rPr>
                <w:rFonts w:ascii="Arial" w:cs="Arial" w:eastAsia="Arial" w:hAnsi="Arial"/>
                <w:sz w:val="18"/>
                <w:szCs w:val="18"/>
                <w:color w:val="auto"/>
              </w:rPr>
              <w:t>(6.88)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r>
      <w:tr>
        <w:trPr>
          <w:trHeight w:val="198"/>
        </w:trPr>
        <w:tc>
          <w:tcPr>
            <w:tcW w:w="5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Weighted average number of shares outstanding used in loss per share</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computation</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Ordinary shares—basic and diluted</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w w:val="93"/>
              </w:rPr>
              <w:t>18,089,102</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22,378,876</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23,483,915</w:t>
            </w:r>
          </w:p>
        </w:tc>
        <w:tc>
          <w:tcPr>
            <w:tcW w:w="112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 basic and diluted</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93"/>
              </w:rPr>
              <w:t>51,309,631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51,309,631</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Class B ordinary shares – basic and diluted</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w w:val="93"/>
              </w:rPr>
              <w:t>17,324,848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17,324,848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100" w:hanging="424"/>
        <w:spacing w:after="0" w:line="342" w:lineRule="auto"/>
        <w:tabs>
          <w:tab w:leader="none" w:pos="540" w:val="left"/>
        </w:tabs>
        <w:numPr>
          <w:ilvl w:val="0"/>
          <w:numId w:val="9"/>
        </w:numPr>
        <w:rPr>
          <w:rFonts w:ascii="Arial" w:cs="Arial" w:eastAsia="Arial" w:hAnsi="Arial"/>
          <w:sz w:val="13"/>
          <w:szCs w:val="13"/>
          <w:color w:val="auto"/>
        </w:rPr>
      </w:pPr>
      <w:r>
        <w:rPr>
          <w:rFonts w:ascii="Arial" w:cs="Arial" w:eastAsia="Arial" w:hAnsi="Arial"/>
          <w:sz w:val="16"/>
          <w:szCs w:val="16"/>
          <w:color w:val="auto"/>
        </w:rPr>
        <w:t>In January 2020, we effected a 2-for-1 reverse share split. The amounts of loss per share and weighted average shares outstanding used in loss per share computation for the years ended December 31, 2017, 2018 and 2019 have been retroactively adjusted to reflect the reverse share split.</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5"/>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Borders>
              <w:top w:val="single" w:sz="8" w:color="auto"/>
              <w:bottom w:val="single" w:sz="8" w:color="auto"/>
            </w:tcBorders>
            <w:gridSpan w:val="3"/>
          </w:tcPr>
          <w:p>
            <w:pPr>
              <w:jc w:val="center"/>
              <w:ind w:left="108"/>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414"/>
              <w:spacing w:after="0" w:line="142" w:lineRule="exact"/>
              <w:rPr>
                <w:sz w:val="20"/>
                <w:szCs w:val="20"/>
                <w:color w:val="auto"/>
              </w:rPr>
            </w:pPr>
            <w:r>
              <w:rPr>
                <w:rFonts w:ascii="Arial" w:cs="Arial" w:eastAsia="Arial" w:hAnsi="Arial"/>
                <w:sz w:val="14"/>
                <w:szCs w:val="14"/>
                <w:b w:val="1"/>
                <w:bCs w:val="1"/>
                <w:color w:val="auto"/>
              </w:rPr>
              <w:t>RMB</w:t>
            </w:r>
          </w:p>
        </w:tc>
        <w:tc>
          <w:tcPr>
            <w:tcW w:w="68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7"/>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Sheets Data:</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6"/>
          </w:tcPr>
          <w:p>
            <w:pPr>
              <w:jc w:val="right"/>
              <w:ind w:right="100"/>
              <w:spacing w:after="0"/>
              <w:rPr>
                <w:sz w:val="20"/>
                <w:szCs w:val="20"/>
                <w:color w:val="auto"/>
              </w:rPr>
            </w:pPr>
            <w:r>
              <w:rPr>
                <w:rFonts w:ascii="Arial" w:cs="Arial" w:eastAsia="Arial" w:hAnsi="Arial"/>
                <w:sz w:val="18"/>
                <w:szCs w:val="18"/>
                <w:color w:val="auto"/>
              </w:rPr>
              <w:t>93,341</w:t>
            </w:r>
          </w:p>
        </w:tc>
        <w:tc>
          <w:tcPr>
            <w:tcW w:w="1080" w:type="dxa"/>
            <w:vAlign w:val="bottom"/>
            <w:gridSpan w:val="6"/>
          </w:tcPr>
          <w:p>
            <w:pPr>
              <w:jc w:val="right"/>
              <w:ind w:right="200"/>
              <w:spacing w:after="0"/>
              <w:rPr>
                <w:sz w:val="20"/>
                <w:szCs w:val="20"/>
                <w:color w:val="auto"/>
              </w:rPr>
            </w:pPr>
            <w:r>
              <w:rPr>
                <w:rFonts w:ascii="Arial" w:cs="Arial" w:eastAsia="Arial" w:hAnsi="Arial"/>
                <w:sz w:val="18"/>
                <w:szCs w:val="18"/>
                <w:color w:val="auto"/>
              </w:rPr>
              <w:t>94,235</w:t>
            </w:r>
          </w:p>
        </w:tc>
        <w:tc>
          <w:tcPr>
            <w:tcW w:w="60" w:type="dxa"/>
            <w:vAlign w:val="bottom"/>
          </w:tcPr>
          <w:p>
            <w:pPr>
              <w:spacing w:after="0"/>
              <w:rPr>
                <w:sz w:val="18"/>
                <w:szCs w:val="18"/>
                <w:color w:val="auto"/>
              </w:rPr>
            </w:pPr>
          </w:p>
        </w:tc>
        <w:tc>
          <w:tcPr>
            <w:tcW w:w="1000" w:type="dxa"/>
            <w:vAlign w:val="bottom"/>
            <w:gridSpan w:val="4"/>
          </w:tcPr>
          <w:p>
            <w:pPr>
              <w:jc w:val="right"/>
              <w:ind w:right="194"/>
              <w:spacing w:after="0"/>
              <w:rPr>
                <w:sz w:val="20"/>
                <w:szCs w:val="20"/>
                <w:color w:val="auto"/>
              </w:rPr>
            </w:pPr>
            <w:r>
              <w:rPr>
                <w:rFonts w:ascii="Arial" w:cs="Arial" w:eastAsia="Arial" w:hAnsi="Arial"/>
                <w:sz w:val="18"/>
                <w:szCs w:val="18"/>
                <w:color w:val="auto"/>
                <w:w w:val="87"/>
              </w:rPr>
              <w:t>1,895,308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290,469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292,989</w:t>
            </w:r>
          </w:p>
        </w:tc>
        <w:tc>
          <w:tcPr>
            <w:tcW w:w="108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706,787</w:t>
            </w: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94"/>
              <w:spacing w:after="0"/>
              <w:rPr>
                <w:sz w:val="20"/>
                <w:szCs w:val="20"/>
                <w:color w:val="auto"/>
              </w:rPr>
            </w:pPr>
            <w:r>
              <w:rPr>
                <w:rFonts w:ascii="Arial" w:cs="Arial" w:eastAsia="Arial" w:hAnsi="Arial"/>
                <w:sz w:val="18"/>
                <w:szCs w:val="18"/>
                <w:color w:val="auto"/>
                <w:w w:val="87"/>
              </w:rPr>
              <w:t>2,523,652</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386,769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w:t>
            </w:r>
          </w:p>
        </w:tc>
        <w:tc>
          <w:tcPr>
            <w:tcW w:w="1240" w:type="dxa"/>
            <w:vAlign w:val="bottom"/>
            <w:gridSpan w:val="6"/>
          </w:tcPr>
          <w:p>
            <w:pPr>
              <w:jc w:val="right"/>
              <w:ind w:right="100"/>
              <w:spacing w:after="0"/>
              <w:rPr>
                <w:sz w:val="20"/>
                <w:szCs w:val="20"/>
                <w:color w:val="auto"/>
              </w:rPr>
            </w:pPr>
            <w:r>
              <w:rPr>
                <w:rFonts w:ascii="Arial" w:cs="Arial" w:eastAsia="Arial" w:hAnsi="Arial"/>
                <w:sz w:val="18"/>
                <w:szCs w:val="18"/>
                <w:color w:val="auto"/>
              </w:rPr>
              <w:t>372,674</w:t>
            </w:r>
          </w:p>
        </w:tc>
        <w:tc>
          <w:tcPr>
            <w:tcW w:w="1080" w:type="dxa"/>
            <w:vAlign w:val="bottom"/>
            <w:gridSpan w:val="6"/>
          </w:tcPr>
          <w:p>
            <w:pPr>
              <w:jc w:val="right"/>
              <w:ind w:right="200"/>
              <w:spacing w:after="0"/>
              <w:rPr>
                <w:sz w:val="20"/>
                <w:szCs w:val="20"/>
                <w:color w:val="auto"/>
              </w:rPr>
            </w:pPr>
            <w:r>
              <w:rPr>
                <w:rFonts w:ascii="Arial" w:cs="Arial" w:eastAsia="Arial" w:hAnsi="Arial"/>
                <w:sz w:val="18"/>
                <w:szCs w:val="18"/>
                <w:color w:val="auto"/>
              </w:rPr>
              <w:t>847,557</w:t>
            </w:r>
          </w:p>
        </w:tc>
        <w:tc>
          <w:tcPr>
            <w:tcW w:w="60" w:type="dxa"/>
            <w:vAlign w:val="bottom"/>
          </w:tcPr>
          <w:p>
            <w:pPr>
              <w:spacing w:after="0"/>
              <w:rPr>
                <w:sz w:val="18"/>
                <w:szCs w:val="18"/>
                <w:color w:val="auto"/>
              </w:rPr>
            </w:pPr>
          </w:p>
        </w:tc>
        <w:tc>
          <w:tcPr>
            <w:tcW w:w="1000" w:type="dxa"/>
            <w:vAlign w:val="bottom"/>
            <w:gridSpan w:val="4"/>
          </w:tcPr>
          <w:p>
            <w:pPr>
              <w:jc w:val="right"/>
              <w:ind w:right="194"/>
              <w:spacing w:after="0"/>
              <w:rPr>
                <w:sz w:val="20"/>
                <w:szCs w:val="20"/>
                <w:color w:val="auto"/>
              </w:rPr>
            </w:pPr>
            <w:r>
              <w:rPr>
                <w:rFonts w:ascii="Arial" w:cs="Arial" w:eastAsia="Arial" w:hAnsi="Arial"/>
                <w:sz w:val="18"/>
                <w:szCs w:val="18"/>
                <w:color w:val="auto"/>
                <w:w w:val="87"/>
              </w:rPr>
              <w:t>2,663,028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408,129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284,698</w:t>
            </w:r>
          </w:p>
        </w:tc>
        <w:tc>
          <w:tcPr>
            <w:tcW w:w="108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164,442</w:t>
            </w: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94"/>
              <w:spacing w:after="0"/>
              <w:rPr>
                <w:sz w:val="20"/>
                <w:szCs w:val="20"/>
                <w:color w:val="auto"/>
              </w:rPr>
            </w:pPr>
            <w:r>
              <w:rPr>
                <w:rFonts w:ascii="Arial" w:cs="Arial" w:eastAsia="Arial" w:hAnsi="Arial"/>
                <w:sz w:val="18"/>
                <w:szCs w:val="18"/>
                <w:color w:val="auto"/>
              </w:rPr>
              <w:t>241,533</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37,018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liabilities</w:t>
            </w:r>
          </w:p>
        </w:tc>
        <w:tc>
          <w:tcPr>
            <w:tcW w:w="1240" w:type="dxa"/>
            <w:vAlign w:val="bottom"/>
            <w:gridSpan w:val="6"/>
          </w:tcPr>
          <w:p>
            <w:pPr>
              <w:jc w:val="right"/>
              <w:ind w:right="100"/>
              <w:spacing w:after="0"/>
              <w:rPr>
                <w:sz w:val="20"/>
                <w:szCs w:val="20"/>
                <w:color w:val="auto"/>
              </w:rPr>
            </w:pPr>
            <w:r>
              <w:rPr>
                <w:rFonts w:ascii="Arial" w:cs="Arial" w:eastAsia="Arial" w:hAnsi="Arial"/>
                <w:sz w:val="18"/>
                <w:szCs w:val="18"/>
                <w:color w:val="auto"/>
              </w:rPr>
              <w:t>380,018</w:t>
            </w:r>
          </w:p>
        </w:tc>
        <w:tc>
          <w:tcPr>
            <w:tcW w:w="1080" w:type="dxa"/>
            <w:vAlign w:val="bottom"/>
            <w:gridSpan w:val="6"/>
          </w:tcPr>
          <w:p>
            <w:pPr>
              <w:jc w:val="right"/>
              <w:ind w:right="200"/>
              <w:spacing w:after="0"/>
              <w:rPr>
                <w:sz w:val="20"/>
                <w:szCs w:val="20"/>
                <w:color w:val="auto"/>
              </w:rPr>
            </w:pPr>
            <w:r>
              <w:rPr>
                <w:rFonts w:ascii="Arial" w:cs="Arial" w:eastAsia="Arial" w:hAnsi="Arial"/>
                <w:sz w:val="18"/>
                <w:szCs w:val="18"/>
                <w:color w:val="auto"/>
              </w:rPr>
              <w:t>212,018</w:t>
            </w:r>
          </w:p>
        </w:tc>
        <w:tc>
          <w:tcPr>
            <w:tcW w:w="60" w:type="dxa"/>
            <w:vAlign w:val="bottom"/>
          </w:tcPr>
          <w:p>
            <w:pPr>
              <w:spacing w:after="0"/>
              <w:rPr>
                <w:sz w:val="18"/>
                <w:szCs w:val="18"/>
                <w:color w:val="auto"/>
              </w:rPr>
            </w:pPr>
          </w:p>
        </w:tc>
        <w:tc>
          <w:tcPr>
            <w:tcW w:w="1000" w:type="dxa"/>
            <w:vAlign w:val="bottom"/>
            <w:gridSpan w:val="4"/>
          </w:tcPr>
          <w:p>
            <w:pPr>
              <w:jc w:val="right"/>
              <w:ind w:right="194"/>
              <w:spacing w:after="0"/>
              <w:rPr>
                <w:sz w:val="20"/>
                <w:szCs w:val="20"/>
                <w:color w:val="auto"/>
              </w:rPr>
            </w:pPr>
            <w:r>
              <w:rPr>
                <w:rFonts w:ascii="Arial" w:cs="Arial" w:eastAsia="Arial" w:hAnsi="Arial"/>
                <w:sz w:val="18"/>
                <w:szCs w:val="18"/>
                <w:color w:val="auto"/>
              </w:rPr>
              <w:t>242,024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37,093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12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596,118</w:t>
            </w:r>
          </w:p>
        </w:tc>
        <w:tc>
          <w:tcPr>
            <w:tcW w:w="108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1,527,033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shareholders’ (deficit) equity</w:t>
            </w:r>
          </w:p>
        </w:tc>
        <w:tc>
          <w:tcPr>
            <w:tcW w:w="1240" w:type="dxa"/>
            <w:vAlign w:val="bottom"/>
            <w:gridSpan w:val="6"/>
          </w:tcPr>
          <w:p>
            <w:pPr>
              <w:jc w:val="right"/>
              <w:ind w:right="40"/>
              <w:spacing w:after="0"/>
              <w:rPr>
                <w:sz w:val="20"/>
                <w:szCs w:val="20"/>
                <w:color w:val="auto"/>
              </w:rPr>
            </w:pPr>
            <w:r>
              <w:rPr>
                <w:rFonts w:ascii="Arial" w:cs="Arial" w:eastAsia="Arial" w:hAnsi="Arial"/>
                <w:sz w:val="18"/>
                <w:szCs w:val="18"/>
                <w:color w:val="auto"/>
              </w:rPr>
              <w:t>(603,462)</w:t>
            </w:r>
          </w:p>
        </w:tc>
        <w:tc>
          <w:tcPr>
            <w:tcW w:w="1080" w:type="dxa"/>
            <w:vAlign w:val="bottom"/>
            <w:gridSpan w:val="6"/>
          </w:tcPr>
          <w:p>
            <w:pPr>
              <w:jc w:val="right"/>
              <w:ind w:right="140"/>
              <w:spacing w:after="0"/>
              <w:rPr>
                <w:sz w:val="20"/>
                <w:szCs w:val="20"/>
                <w:color w:val="auto"/>
              </w:rPr>
            </w:pPr>
            <w:r>
              <w:rPr>
                <w:rFonts w:ascii="Arial" w:cs="Arial" w:eastAsia="Arial" w:hAnsi="Arial"/>
                <w:sz w:val="18"/>
                <w:szCs w:val="18"/>
                <w:color w:val="auto"/>
              </w:rPr>
              <w:t>(891,494)</w:t>
            </w:r>
          </w:p>
        </w:tc>
        <w:tc>
          <w:tcPr>
            <w:tcW w:w="60" w:type="dxa"/>
            <w:vAlign w:val="bottom"/>
          </w:tcPr>
          <w:p>
            <w:pPr>
              <w:spacing w:after="0"/>
              <w:rPr>
                <w:sz w:val="20"/>
                <w:szCs w:val="20"/>
                <w:color w:val="auto"/>
              </w:rPr>
            </w:pPr>
          </w:p>
        </w:tc>
        <w:tc>
          <w:tcPr>
            <w:tcW w:w="1000" w:type="dxa"/>
            <w:vAlign w:val="bottom"/>
            <w:gridSpan w:val="4"/>
          </w:tcPr>
          <w:p>
            <w:pPr>
              <w:jc w:val="right"/>
              <w:ind w:right="194"/>
              <w:spacing w:after="0"/>
              <w:rPr>
                <w:sz w:val="20"/>
                <w:szCs w:val="20"/>
                <w:color w:val="auto"/>
              </w:rPr>
            </w:pPr>
            <w:r>
              <w:rPr>
                <w:rFonts w:ascii="Arial" w:cs="Arial" w:eastAsia="Arial" w:hAnsi="Arial"/>
                <w:sz w:val="18"/>
                <w:szCs w:val="18"/>
                <w:color w:val="auto"/>
                <w:w w:val="87"/>
              </w:rPr>
              <w:t>2,421,004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371,036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7"/>
        </w:trPr>
        <w:tc>
          <w:tcPr>
            <w:tcW w:w="4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0"/>
          </w:tcPr>
          <w:p>
            <w:pPr>
              <w:jc w:val="center"/>
              <w:ind w:right="234"/>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00" w:type="dxa"/>
            <w:vAlign w:val="bottom"/>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4"/>
          </w:tcPr>
          <w:p>
            <w:pPr>
              <w:jc w:val="right"/>
              <w:ind w:right="128"/>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60" w:type="dxa"/>
            <w:vAlign w:val="bottom"/>
            <w:gridSpan w:val="4"/>
          </w:tcPr>
          <w:p>
            <w:pPr>
              <w:jc w:val="center"/>
              <w:ind w:left="195"/>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3"/>
          </w:tcPr>
          <w:p>
            <w:pPr>
              <w:jc w:val="center"/>
              <w:ind w:left="88"/>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7"/>
          </w:tcPr>
          <w:p>
            <w:pPr>
              <w:jc w:val="center"/>
              <w:ind w:right="1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Statements of Cash Flow Data:</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(133,701)</w:t>
            </w:r>
          </w:p>
        </w:tc>
        <w:tc>
          <w:tcPr>
            <w:tcW w:w="4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w w:val="90"/>
              </w:rPr>
              <w:t>(148,780)</w:t>
            </w:r>
          </w:p>
        </w:tc>
        <w:tc>
          <w:tcPr>
            <w:tcW w:w="1040" w:type="dxa"/>
            <w:vAlign w:val="bottom"/>
            <w:gridSpan w:val="6"/>
          </w:tcPr>
          <w:p>
            <w:pPr>
              <w:jc w:val="right"/>
              <w:ind w:right="88"/>
              <w:spacing w:after="0"/>
              <w:rPr>
                <w:sz w:val="20"/>
                <w:szCs w:val="20"/>
                <w:color w:val="auto"/>
              </w:rPr>
            </w:pPr>
            <w:r>
              <w:rPr>
                <w:rFonts w:ascii="Arial" w:cs="Arial" w:eastAsia="Arial" w:hAnsi="Arial"/>
                <w:sz w:val="18"/>
                <w:szCs w:val="18"/>
                <w:color w:val="auto"/>
              </w:rPr>
              <w:t>(228,041)</w:t>
            </w:r>
          </w:p>
        </w:tc>
        <w:tc>
          <w:tcPr>
            <w:tcW w:w="60" w:type="dxa"/>
            <w:vAlign w:val="bottom"/>
          </w:tcPr>
          <w:p>
            <w:pPr>
              <w:spacing w:after="0"/>
              <w:rPr>
                <w:sz w:val="18"/>
                <w:szCs w:val="18"/>
                <w:color w:val="auto"/>
              </w:rPr>
            </w:pPr>
          </w:p>
        </w:tc>
        <w:tc>
          <w:tcPr>
            <w:tcW w:w="920" w:type="dxa"/>
            <w:vAlign w:val="bottom"/>
            <w:gridSpan w:val="2"/>
          </w:tcPr>
          <w:p>
            <w:pPr>
              <w:jc w:val="right"/>
              <w:ind w:right="55"/>
              <w:spacing w:after="0"/>
              <w:rPr>
                <w:sz w:val="20"/>
                <w:szCs w:val="20"/>
                <w:color w:val="auto"/>
              </w:rPr>
            </w:pPr>
            <w:r>
              <w:rPr>
                <w:rFonts w:ascii="Arial" w:cs="Arial" w:eastAsia="Arial" w:hAnsi="Arial"/>
                <w:sz w:val="18"/>
                <w:szCs w:val="18"/>
                <w:color w:val="auto"/>
              </w:rPr>
              <w:t>(73,543)</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(11,271)</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generated from investing activities</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(191,077)</w:t>
            </w:r>
          </w:p>
        </w:tc>
        <w:tc>
          <w:tcPr>
            <w:tcW w:w="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8"/>
              <w:spacing w:after="0"/>
              <w:rPr>
                <w:sz w:val="20"/>
                <w:szCs w:val="20"/>
                <w:color w:val="auto"/>
              </w:rPr>
            </w:pPr>
            <w:r>
              <w:rPr>
                <w:rFonts w:ascii="Arial" w:cs="Arial" w:eastAsia="Arial" w:hAnsi="Arial"/>
                <w:sz w:val="18"/>
                <w:szCs w:val="18"/>
                <w:color w:val="auto"/>
                <w:w w:val="98"/>
              </w:rPr>
              <w:t>106,091</w:t>
            </w:r>
          </w:p>
        </w:tc>
        <w:tc>
          <w:tcPr>
            <w:tcW w:w="1040" w:type="dxa"/>
            <w:vAlign w:val="bottom"/>
            <w:gridSpan w:val="6"/>
            <w:shd w:val="clear" w:color="auto" w:fill="CCEEFF"/>
          </w:tcPr>
          <w:p>
            <w:pPr>
              <w:jc w:val="right"/>
              <w:ind w:right="88"/>
              <w:spacing w:after="0"/>
              <w:rPr>
                <w:sz w:val="20"/>
                <w:szCs w:val="20"/>
                <w:color w:val="auto"/>
              </w:rPr>
            </w:pPr>
            <w:r>
              <w:rPr>
                <w:rFonts w:ascii="Arial" w:cs="Arial" w:eastAsia="Arial" w:hAnsi="Arial"/>
                <w:sz w:val="18"/>
                <w:szCs w:val="18"/>
                <w:color w:val="auto"/>
              </w:rPr>
              <w:t>(346,660)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w w:val="98"/>
              </w:rPr>
              <w:t>(109,312)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(16,752)</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Net cash generated from financing activities</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354,166</w:t>
            </w:r>
          </w:p>
        </w:tc>
        <w:tc>
          <w:tcPr>
            <w:tcW w:w="40" w:type="dxa"/>
            <w:vAlign w:val="bottom"/>
          </w:tcPr>
          <w:p>
            <w:pPr>
              <w:spacing w:after="0"/>
              <w:rPr>
                <w:sz w:val="18"/>
                <w:szCs w:val="18"/>
                <w:color w:val="auto"/>
              </w:rPr>
            </w:pPr>
          </w:p>
        </w:tc>
        <w:tc>
          <w:tcPr>
            <w:tcW w:w="760" w:type="dxa"/>
            <w:vAlign w:val="bottom"/>
            <w:gridSpan w:val="5"/>
          </w:tcPr>
          <w:p>
            <w:pPr>
              <w:jc w:val="right"/>
              <w:ind w:right="28"/>
              <w:spacing w:after="0"/>
              <w:rPr>
                <w:sz w:val="20"/>
                <w:szCs w:val="20"/>
                <w:color w:val="auto"/>
              </w:rPr>
            </w:pPr>
            <w:r>
              <w:rPr>
                <w:rFonts w:ascii="Arial" w:cs="Arial" w:eastAsia="Arial" w:hAnsi="Arial"/>
                <w:sz w:val="18"/>
                <w:szCs w:val="18"/>
                <w:color w:val="auto"/>
              </w:rPr>
              <w:t>83,393</w:t>
            </w:r>
          </w:p>
        </w:tc>
        <w:tc>
          <w:tcPr>
            <w:tcW w:w="1040" w:type="dxa"/>
            <w:vAlign w:val="bottom"/>
            <w:gridSpan w:val="6"/>
          </w:tcPr>
          <w:p>
            <w:pPr>
              <w:jc w:val="right"/>
              <w:ind w:right="148"/>
              <w:spacing w:after="0"/>
              <w:rPr>
                <w:sz w:val="20"/>
                <w:szCs w:val="20"/>
                <w:color w:val="auto"/>
              </w:rPr>
            </w:pPr>
            <w:r>
              <w:rPr>
                <w:rFonts w:ascii="Arial" w:cs="Arial" w:eastAsia="Arial" w:hAnsi="Arial"/>
                <w:sz w:val="18"/>
                <w:szCs w:val="18"/>
                <w:color w:val="auto"/>
              </w:rPr>
              <w:t>571,735</w:t>
            </w:r>
          </w:p>
        </w:tc>
        <w:tc>
          <w:tcPr>
            <w:tcW w:w="60" w:type="dxa"/>
            <w:vAlign w:val="bottom"/>
          </w:tcPr>
          <w:p>
            <w:pPr>
              <w:spacing w:after="0"/>
              <w:rPr>
                <w:sz w:val="18"/>
                <w:szCs w:val="18"/>
                <w:color w:val="auto"/>
              </w:rPr>
            </w:pPr>
          </w:p>
        </w:tc>
        <w:tc>
          <w:tcPr>
            <w:tcW w:w="920" w:type="dxa"/>
            <w:vAlign w:val="bottom"/>
            <w:gridSpan w:val="2"/>
          </w:tcPr>
          <w:p>
            <w:pPr>
              <w:jc w:val="right"/>
              <w:ind w:right="115"/>
              <w:spacing w:after="0"/>
              <w:rPr>
                <w:sz w:val="20"/>
                <w:szCs w:val="20"/>
                <w:color w:val="auto"/>
              </w:rPr>
            </w:pPr>
            <w:r>
              <w:rPr>
                <w:rFonts w:ascii="Arial" w:cs="Arial" w:eastAsia="Arial" w:hAnsi="Arial"/>
                <w:sz w:val="18"/>
                <w:szCs w:val="18"/>
                <w:color w:val="auto"/>
                <w:w w:val="87"/>
              </w:rPr>
              <w:t>2,165,719</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331,910</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(11,406)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(159)</w:t>
            </w:r>
          </w:p>
        </w:tc>
        <w:tc>
          <w:tcPr>
            <w:tcW w:w="1040" w:type="dxa"/>
            <w:vAlign w:val="bottom"/>
            <w:gridSpan w:val="6"/>
            <w:shd w:val="clear" w:color="auto" w:fill="CCEEFF"/>
          </w:tcPr>
          <w:p>
            <w:pPr>
              <w:jc w:val="right"/>
              <w:ind w:right="148"/>
              <w:spacing w:after="0"/>
              <w:rPr>
                <w:sz w:val="20"/>
                <w:szCs w:val="20"/>
                <w:color w:val="auto"/>
              </w:rPr>
            </w:pPr>
            <w:r>
              <w:rPr>
                <w:rFonts w:ascii="Arial" w:cs="Arial" w:eastAsia="Arial" w:hAnsi="Arial"/>
                <w:sz w:val="18"/>
                <w:szCs w:val="18"/>
                <w:color w:val="auto"/>
              </w:rPr>
              <w:t>5,876</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w w:val="98"/>
              </w:rPr>
              <w:t>(155,902)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(23,893)</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17,982</w:t>
            </w:r>
          </w:p>
        </w:tc>
        <w:tc>
          <w:tcPr>
            <w:tcW w:w="40" w:type="dxa"/>
            <w:vAlign w:val="bottom"/>
          </w:tcPr>
          <w:p>
            <w:pPr>
              <w:spacing w:after="0"/>
              <w:rPr>
                <w:sz w:val="18"/>
                <w:szCs w:val="18"/>
                <w:color w:val="auto"/>
              </w:rPr>
            </w:pPr>
          </w:p>
        </w:tc>
        <w:tc>
          <w:tcPr>
            <w:tcW w:w="760" w:type="dxa"/>
            <w:vAlign w:val="bottom"/>
            <w:gridSpan w:val="5"/>
          </w:tcPr>
          <w:p>
            <w:pPr>
              <w:jc w:val="right"/>
              <w:ind w:right="28"/>
              <w:spacing w:after="0"/>
              <w:rPr>
                <w:sz w:val="20"/>
                <w:szCs w:val="20"/>
                <w:color w:val="auto"/>
              </w:rPr>
            </w:pPr>
            <w:r>
              <w:rPr>
                <w:rFonts w:ascii="Arial" w:cs="Arial" w:eastAsia="Arial" w:hAnsi="Arial"/>
                <w:sz w:val="18"/>
                <w:szCs w:val="18"/>
                <w:color w:val="auto"/>
              </w:rPr>
              <w:t>40,545</w:t>
            </w:r>
          </w:p>
        </w:tc>
        <w:tc>
          <w:tcPr>
            <w:tcW w:w="1040" w:type="dxa"/>
            <w:vAlign w:val="bottom"/>
            <w:gridSpan w:val="6"/>
          </w:tcPr>
          <w:p>
            <w:pPr>
              <w:jc w:val="right"/>
              <w:ind w:right="148"/>
              <w:spacing w:after="0"/>
              <w:rPr>
                <w:sz w:val="20"/>
                <w:szCs w:val="20"/>
                <w:color w:val="auto"/>
              </w:rPr>
            </w:pPr>
            <w:r>
              <w:rPr>
                <w:rFonts w:ascii="Arial" w:cs="Arial" w:eastAsia="Arial" w:hAnsi="Arial"/>
                <w:sz w:val="18"/>
                <w:szCs w:val="18"/>
                <w:color w:val="auto"/>
              </w:rPr>
              <w:t>2,910</w:t>
            </w:r>
          </w:p>
        </w:tc>
        <w:tc>
          <w:tcPr>
            <w:tcW w:w="60" w:type="dxa"/>
            <w:vAlign w:val="bottom"/>
          </w:tcPr>
          <w:p>
            <w:pPr>
              <w:spacing w:after="0"/>
              <w:rPr>
                <w:sz w:val="18"/>
                <w:szCs w:val="18"/>
                <w:color w:val="auto"/>
              </w:rPr>
            </w:pPr>
          </w:p>
        </w:tc>
        <w:tc>
          <w:tcPr>
            <w:tcW w:w="920" w:type="dxa"/>
            <w:vAlign w:val="bottom"/>
            <w:gridSpan w:val="2"/>
          </w:tcPr>
          <w:p>
            <w:pPr>
              <w:jc w:val="right"/>
              <w:ind w:right="115"/>
              <w:spacing w:after="0"/>
              <w:rPr>
                <w:sz w:val="20"/>
                <w:szCs w:val="20"/>
                <w:color w:val="auto"/>
              </w:rPr>
            </w:pPr>
            <w:r>
              <w:rPr>
                <w:rFonts w:ascii="Arial" w:cs="Arial" w:eastAsia="Arial" w:hAnsi="Arial"/>
                <w:sz w:val="18"/>
                <w:szCs w:val="18"/>
                <w:color w:val="auto"/>
                <w:w w:val="87"/>
              </w:rPr>
              <w:t>1,826,962</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279,994</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36,807</w:t>
            </w:r>
          </w:p>
        </w:tc>
        <w:tc>
          <w:tcPr>
            <w:tcW w:w="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54,789</w:t>
            </w:r>
          </w:p>
        </w:tc>
        <w:tc>
          <w:tcPr>
            <w:tcW w:w="1040" w:type="dxa"/>
            <w:vAlign w:val="bottom"/>
            <w:gridSpan w:val="6"/>
            <w:shd w:val="clear" w:color="auto" w:fill="CCEEFF"/>
          </w:tcPr>
          <w:p>
            <w:pPr>
              <w:jc w:val="right"/>
              <w:ind w:right="148"/>
              <w:spacing w:after="0"/>
              <w:rPr>
                <w:sz w:val="20"/>
                <w:szCs w:val="20"/>
                <w:color w:val="auto"/>
              </w:rPr>
            </w:pPr>
            <w:r>
              <w:rPr>
                <w:rFonts w:ascii="Arial" w:cs="Arial" w:eastAsia="Arial" w:hAnsi="Arial"/>
                <w:sz w:val="18"/>
                <w:szCs w:val="18"/>
                <w:color w:val="auto"/>
              </w:rPr>
              <w:t>95,334</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98,244</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15,057</w:t>
            </w: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54,789</w:t>
            </w:r>
          </w:p>
        </w:tc>
        <w:tc>
          <w:tcPr>
            <w:tcW w:w="40" w:type="dxa"/>
            <w:vAlign w:val="bottom"/>
          </w:tcPr>
          <w:p>
            <w:pPr>
              <w:spacing w:after="0"/>
              <w:rPr>
                <w:sz w:val="20"/>
                <w:szCs w:val="20"/>
                <w:color w:val="auto"/>
              </w:rPr>
            </w:pPr>
          </w:p>
        </w:tc>
        <w:tc>
          <w:tcPr>
            <w:tcW w:w="760" w:type="dxa"/>
            <w:vAlign w:val="bottom"/>
            <w:gridSpan w:val="5"/>
          </w:tcPr>
          <w:p>
            <w:pPr>
              <w:jc w:val="right"/>
              <w:ind w:right="28"/>
              <w:spacing w:after="0"/>
              <w:rPr>
                <w:sz w:val="20"/>
                <w:szCs w:val="20"/>
                <w:color w:val="auto"/>
              </w:rPr>
            </w:pPr>
            <w:r>
              <w:rPr>
                <w:rFonts w:ascii="Arial" w:cs="Arial" w:eastAsia="Arial" w:hAnsi="Arial"/>
                <w:sz w:val="18"/>
                <w:szCs w:val="18"/>
                <w:color w:val="auto"/>
              </w:rPr>
              <w:t>95,334</w:t>
            </w:r>
          </w:p>
        </w:tc>
        <w:tc>
          <w:tcPr>
            <w:tcW w:w="1040" w:type="dxa"/>
            <w:vAlign w:val="bottom"/>
            <w:gridSpan w:val="6"/>
          </w:tcPr>
          <w:p>
            <w:pPr>
              <w:jc w:val="right"/>
              <w:ind w:right="148"/>
              <w:spacing w:after="0"/>
              <w:rPr>
                <w:sz w:val="20"/>
                <w:szCs w:val="20"/>
                <w:color w:val="auto"/>
              </w:rPr>
            </w:pPr>
            <w:r>
              <w:rPr>
                <w:rFonts w:ascii="Arial" w:cs="Arial" w:eastAsia="Arial" w:hAnsi="Arial"/>
                <w:sz w:val="18"/>
                <w:szCs w:val="18"/>
                <w:color w:val="auto"/>
              </w:rPr>
              <w:t>98,244</w:t>
            </w:r>
          </w:p>
        </w:tc>
        <w:tc>
          <w:tcPr>
            <w:tcW w:w="60" w:type="dxa"/>
            <w:vAlign w:val="bottom"/>
          </w:tcPr>
          <w:p>
            <w:pPr>
              <w:spacing w:after="0"/>
              <w:rPr>
                <w:sz w:val="20"/>
                <w:szCs w:val="20"/>
                <w:color w:val="auto"/>
              </w:rPr>
            </w:pPr>
          </w:p>
        </w:tc>
        <w:tc>
          <w:tcPr>
            <w:tcW w:w="920" w:type="dxa"/>
            <w:vAlign w:val="bottom"/>
            <w:gridSpan w:val="2"/>
          </w:tcPr>
          <w:p>
            <w:pPr>
              <w:jc w:val="right"/>
              <w:ind w:right="115"/>
              <w:spacing w:after="0"/>
              <w:rPr>
                <w:sz w:val="20"/>
                <w:szCs w:val="20"/>
                <w:color w:val="auto"/>
              </w:rPr>
            </w:pPr>
            <w:r>
              <w:rPr>
                <w:rFonts w:ascii="Arial" w:cs="Arial" w:eastAsia="Arial" w:hAnsi="Arial"/>
                <w:sz w:val="18"/>
                <w:szCs w:val="18"/>
                <w:color w:val="auto"/>
                <w:w w:val="87"/>
              </w:rPr>
              <w:t>1,925,206</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295,051</w:t>
            </w:r>
          </w:p>
        </w:tc>
      </w:tr>
    </w:tbl>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Capitalization and Indebtedness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Risk Factors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We are a cancer diagnostics company with a limited operating history, which may make it difficult to evaluate our current business and predict our future performance.</w:t>
      </w:r>
    </w:p>
    <w:p>
      <w:pPr>
        <w:spacing w:after="0" w:line="170"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We commercially launched our first cancer therapy selection test in 2014 and started generating revenue in 2014. Our limited operating history may make it difficult to evaluate our current business and predict our future performance. Any assessment of our profitability or prediction about our future success or viability is subject to significant uncertainty.</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China’s NGS-based cancer therapy selection market is still in its early stage of development and rapidly evolving, and companies operating in this industry face a variety of risks. We may not have sufficient experience or resources to address risks frequently encountered in this industry, which include, among other things, our potential failure to:</w:t>
      </w:r>
    </w:p>
    <w:p>
      <w:pPr>
        <w:spacing w:after="0" w:line="89" w:lineRule="exact"/>
        <w:rPr>
          <w:sz w:val="20"/>
          <w:szCs w:val="20"/>
          <w:color w:val="auto"/>
        </w:rPr>
      </w:pPr>
    </w:p>
    <w:p>
      <w:pPr>
        <w:ind w:left="1080" w:right="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and retain customers and increase adoption of our cancer therapy selection products and services by hospitals, physicians, patients, pharmaceutical companies and others in the medical community;</w:t>
      </w:r>
    </w:p>
    <w:p>
      <w:pPr>
        <w:spacing w:after="0" w:line="75" w:lineRule="exact"/>
        <w:rPr>
          <w:rFonts w:ascii="Arial" w:cs="Arial" w:eastAsia="Arial" w:hAnsi="Arial"/>
          <w:sz w:val="18"/>
          <w:szCs w:val="18"/>
          <w:color w:val="auto"/>
        </w:rPr>
      </w:pPr>
    </w:p>
    <w:p>
      <w:pPr>
        <w:ind w:left="1080" w:right="10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respond to changing market conditions and keep up with evolving industry and technological standards and regulatory developments;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and maintain the regulatory approvals required for us to further market and sell our cancer therapy selection products and services and commercialize our early cancer detection products and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our relationships with our suppliers, customers and research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protect proprietary technologies and intellectual property rights;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train, motivate and retain research and development and other qualified personnel.</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If we are unsuccessful in addressing any one or more of these risks, our business, financial condition and results of operations could be adversely affected.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have incurred net losses historically, and may not be able to achieve and maintain profitability.</w:t>
      </w:r>
    </w:p>
    <w:p>
      <w:pPr>
        <w:spacing w:after="0" w:line="22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Although our revenue grew rapidly in recent years, we have historically incurred net losses. In 2018, 2019 and 2020, we incurred net loss of RMB177.5 million, RMB169.2 million and RMB407.2 million (US$62.4 million), respectively. To date, we have financed our operations principally from revenue generated from operations, proceeds from our initial public offering and concurrent private placement and equity contributions from our shareholders.</w:t>
      </w:r>
    </w:p>
    <w:p>
      <w:pPr>
        <w:spacing w:after="0" w:line="187"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We have invested and expect to continue to invest significantly in the research, development, and sales and marketing of our products. As such, we may continue to incur losses in the future. We cannot predict the extent of these future losses, or when we may achieve profitability, if at all. If we are unable to generate sufficient revenue from our business and control our costs and expenses to achieve and maintain profitability, the value of your investment in us could be negatively affected.</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b w:val="1"/>
          <w:bCs w:val="1"/>
          <w:i w:val="1"/>
          <w:iCs w:val="1"/>
          <w:color w:val="auto"/>
        </w:rPr>
        <w:t>Failure to maintain significant commercial market acceptance for our cancer therapy selection products and services, or any future products and services may harm our business and results of operations.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cancer therapy selection products and services contributed substantially all of our revenue for 2018, 2019 and 2020. Although we are in the process of developing early cancer detection products, our cancer therapy selection tests will continue to account for a significant portion of our revenue in the foreseeable future. Our ability to execute our growth strategy and become profitable will therefore depend upon the continued and further adoption of our cancer therapy selection products and services by hospitals and patients. Continued adoption and use of these products and services will depend on several factors, including, among others:</w:t>
      </w:r>
    </w:p>
    <w:p>
      <w:pPr>
        <w:spacing w:after="0" w:line="93" w:lineRule="exact"/>
        <w:rPr>
          <w:sz w:val="20"/>
          <w:szCs w:val="20"/>
          <w:color w:val="auto"/>
        </w:rPr>
      </w:pPr>
    </w:p>
    <w:p>
      <w:pPr>
        <w:ind w:left="1080" w:right="2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demonstrate among the medical community the clinical utility, superiority and the benefits of our cancer therapy selection products and services;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further validate our cancer therapy selection technologies through clinical research and accompanying publications;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scope of approval by the NMPA for our additional cancer therapy selection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prices we charge for our cancer therapy selection products and services;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maintain our laboratory certification, accreditation and regulatory approvals, including the NCCL PCR clinical test laboratory certificate, the NCCL NGS laboratory certificate, the CAP accreditation, the CLIA certification, and complete required inspections;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negative publicity regarding our or our competitors’ tests and technologies resulting from defects or errors.</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cannot assure you that our cancer therapy selection products and services will continue to maintain or gain market acceptance, and any failure to do so would harm our business and results of operations.</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b w:val="1"/>
          <w:bCs w:val="1"/>
          <w:i w:val="1"/>
          <w:iCs w:val="1"/>
          <w:color w:val="auto"/>
        </w:rPr>
        <w:t>We may be unable to develop and commercialize our early cancer detection products or new cancer therapy selection products on a timely basis, or at all.</w:t>
      </w:r>
    </w:p>
    <w:p>
      <w:pPr>
        <w:spacing w:after="0" w:line="170"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are developing early cancer detection products and may develop and commercialize new cancer therapy selection products from time to time in the future. Developing early cancer detection and new cancer diagnostics products is a lengthy and complex process. New products may take time to commercialize, and their launch could be delayed or may not be successful.</w:t>
      </w:r>
    </w:p>
    <w:p>
      <w:pPr>
        <w:spacing w:after="0" w:line="184"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Our product development process involves various risks, and we may not be able to develop and commercialize any early cancer detection products or new cancer therapy selection products on a timely basis, or at all. A product candidate that appears promising in the early phases of development may fail to reach the market for a number of reasons. For example:</w:t>
      </w:r>
    </w:p>
    <w:p>
      <w:pPr>
        <w:spacing w:after="0" w:line="89" w:lineRule="exact"/>
        <w:rPr>
          <w:sz w:val="20"/>
          <w:szCs w:val="20"/>
          <w:color w:val="auto"/>
        </w:rPr>
      </w:pPr>
    </w:p>
    <w:p>
      <w:pPr>
        <w:ind w:left="1080" w:right="20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may fail to demonstrate clinical utility, or the development process may produce negative or inconclusive results, and we may decide, or regulators may require us to conduct additional clinical trials or we may decide to abandon our development programs;</w:t>
      </w:r>
    </w:p>
    <w:p>
      <w:pPr>
        <w:spacing w:after="0" w:line="89"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employees, or third-party clinical investigators, medical institutions and contract research organizations, may fail to comply with their contractual duties or obligations or meet expected deadlines, and if the quality, completeness or accuracy of the clinical data they obtain are compromised due to any failure to adhere to our clinical protocols or for other reasons, our clinical trials may have to be extended, delayed or terminated;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fail to obtain approvals for our product candidates from relevant regulatory authorities; and</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generate additional data and insights from our existing products to advance the research and development of new products as quickly, or at all.</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our competitors may develop and commercialize competing products faster than we are able to, in which case our results of operations could be adversely affected.</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If we fail to keep up with industry and technology developments in a timely and cost-effective manner, we may be unable to compete effectively and our business and prospects could suffer.</w:t>
      </w:r>
    </w:p>
    <w:p>
      <w:pPr>
        <w:spacing w:after="0" w:line="170"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China’s NGS-based cancer therapy selection market is characterized by rapid changes, including technological and scientific breakthroughs, increasing amounts of data, frequent introductions of new tests, constant emergence of alternative diagnostic methods, and evolving industry standards. If we are not able to keep pace with these advances and increased customer expectations as a result of these advances and capture new market opportunities that develop as a result of these advances, our proprietary technologies could be rendered obsolete, our existing products and services and products and services we are developing could be rendered less clinically effective, and our future operations and prospects could suffer. To remain competitive, we must continuously upgrade our existing products and services and launch new products and services, to keep pace with these developments. We cannot assure you that these efforts will be successful.</w:t>
      </w:r>
    </w:p>
    <w:p>
      <w:pPr>
        <w:spacing w:after="0" w:line="17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addition, we must expend significant resources in order to continuously upgrade our existing products and services or launch new ones to keep pace with industry and technological advances. We may never realize a return on investment on these efforts, especially if the improved or new products and services fail to perform as expected, in which case our business, financial condition and results of operations could be adversely affected.</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our products or services do not perform as expected, our operating results, reputation and business could suffer.</w:t>
      </w:r>
    </w:p>
    <w:p>
      <w:pPr>
        <w:spacing w:after="0" w:line="225"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Our success depends on the market confidence that we can provide reliable, high-quality cancer therapy selection products and services, that will provide physicians with real-time clinically actionable diagnostic information. However, there is no assurance that our current and future products and services, including our early cancer detection tests currently under development, will consistently perform as expected, if at all. Our tests may fail to accurately detect gene variants or incompletely or incorrectly identify the significance of genomic alterations, or contain other errors or mistakes due to a variety of reasons (such as malfunction of our laboratory equipment and degraded liquid biopsy or tissue samples provided by our delivery service providers), which could either delay treatments or incur unnecessary medical expenses to people on whom the tests are performed. In addition, inaccurate results or misunderstandings of, or inappropriate reliance on, the diagnostic information our current and future tests provide could lead to, or be associated with, side effects or adverse events in patients who use our tests, including treatment-related death, and could lead to termination of our services or claims against us. Any such inaccurate diagnostic results, or perception thereof, could further subject us to claims or lawsuits brought by people taking our tests and their families. Any product defects or other failure of our existing products and products currently under development may result in adverse or negative publicity, lost revenue, rising insurance premium, and significant warranty and other expenses and could have a material adverse impact on our operation, business prospects, financial condition and results of operations.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If we were to be sued for product liability or professional liability, we could face substantial liabilities that exceed our resources.</w:t>
      </w:r>
    </w:p>
    <w:p>
      <w:pPr>
        <w:spacing w:after="0" w:line="23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We could face product liability claims should someone allege that our products or services identified inaccurate or incomplete information regarding the genomic alteration of the tumor or malignancy analyzed, reported inaccurate or incomplete information concerning the available therapies for a certain type of cancer or otherwise failed to perform as designed. A claimant could allege that our test results caused unnecessary treatment or other costs or resulted in the patient missing the best opportunity or timing for treatment. A patient could also allege other mental or physical injury or that our tests provided inaccurate or misleading information concerning the diagnosis, prognosis or recurrence of, or available therapies for, his or her cancer. We may also be subject to liability for errors in, a misunderstanding of or inappropriate reliance upon, the diagnostic information our tests provided. The tense physician-patient relationship in China could also expose us to an increased risk of potential liability claims. A product liability or professional liability claim could result in substantial damages and be costly and time-consuming for us to defend and could divert our management’s attention.</w:t>
      </w:r>
    </w:p>
    <w:p>
      <w:pPr>
        <w:spacing w:after="0" w:line="19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Similar to other Chinese companies, we do not carry product liability or professional liability insurance. As the insurance industry in China is at a relatively preliminary stage of development compared to more developed markets such as the United States, insurance companies in China generally offer a limited selection of product liability and professional liability insurance policies and it is often difficult to secure suitable product liability and professional liability insurance coverage at reasonable rates in China. Any product liability or professional liability claim brought against us, with or without merit, could increase our insurance rates or prevent us from securing insurance coverage. Additionally, any product liability or professional liability lawsuit could damage our reputation, or cause our business partners to terminate existing agreements with us and seek other business partners, or cause us to lose our current or potential customers. Any of these developments could adversely impact our results of operations and business prospects.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b w:val="1"/>
          <w:bCs w:val="1"/>
          <w:i w:val="1"/>
          <w:iCs w:val="1"/>
          <w:color w:val="auto"/>
        </w:rPr>
        <w:t>If we cannot maintain or develop relationships with hospitals and physicians, our results of operations and prospects could be adversely affected.</w:t>
      </w:r>
    </w:p>
    <w:p>
      <w:pPr>
        <w:spacing w:after="0" w:line="170"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We collaborate with hospitals and physicians across China in many aspects of our business, and our success in part depends on our ability to maintain our relationships with our existing partner hospitals and physicians and continue to build new relationships with additional hospitals and physicians.</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b w:val="1"/>
          <w:bCs w:val="1"/>
          <w:i w:val="1"/>
          <w:iCs w:val="1"/>
          <w:color w:val="auto"/>
        </w:rPr>
        <w:t>Central laboratory collaboration</w:t>
      </w:r>
      <w:r>
        <w:rPr>
          <w:rFonts w:ascii="Arial" w:cs="Arial" w:eastAsia="Arial" w:hAnsi="Arial"/>
          <w:sz w:val="18"/>
          <w:szCs w:val="18"/>
          <w:color w:val="auto"/>
        </w:rPr>
        <w:t>. Currently, we primarily collaborate with hospitals and physicians under the central laboratory model,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cancer patients’ treating physicians order our tests for the patients during the diagnostic process, have the patients’ liquid biopsy or tissue samples shipped to our laboratories for testing and then design treatment plans based on our test results. Since our inception, over 5,120 physicians from 700 hospitals across China had ordered our tests. To generate demand, we will need to continue to educate physicians at an increasing number of hospitals on the clinical utility, benefits and value of our tests through clinical trials, published papers, presentations at scientific conferences and one-on-one education by our in-house sales force. We may need to hire additional sales and marketing, research and development and other personnel to support this process. If the physicians currently using our tests services stop ordering our tests or order fewer tests from us for any reason, or if we fail to convince physicians at new hospitals to order our tests, we will likely be unable to generate demand for our tests in sufficient volume for us to achieve profitability.</w:t>
      </w:r>
    </w:p>
    <w:p>
      <w:pPr>
        <w:spacing w:after="0" w:line="19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b w:val="1"/>
          <w:bCs w:val="1"/>
          <w:i w:val="1"/>
          <w:iCs w:val="1"/>
          <w:color w:val="auto"/>
        </w:rPr>
        <w:t>In-hospital collaboration</w:t>
      </w:r>
      <w:r>
        <w:rPr>
          <w:rFonts w:ascii="Arial" w:cs="Arial" w:eastAsia="Arial" w:hAnsi="Arial"/>
          <w:sz w:val="18"/>
          <w:szCs w:val="18"/>
          <w:color w:val="auto"/>
        </w:rPr>
        <w:t>. We are also actively expanding our collaboration with hospitals under the in-hospital model. Under this model,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with hospitals to establish in-hospital laboratories so that the partner hospitals can conduct cancer therapy selection tests on their own using our reagent kits. As of December 31, 2020, we had partnered with 52 hospitals under the in-hospital model. Any deterioration or termination of our relationships with these partner hospitals could result in temporary or permanent loss of our revenue.</w:t>
      </w:r>
    </w:p>
    <w:p>
      <w:pPr>
        <w:spacing w:after="0" w:line="18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addition, we will need to continue to advocate the clinical utility, benefits and value of our tests in order to enter into collaboration with additional hospitals under the in-hospital model. Even if we have convinced the new hospitals to partner with us, establishing in-hospital laboratories with hospitals in China involves a lengthy and costly process, including going through tender procedures, the outcome of which is subject to uncertainties, and complying with the respective hospitals’ operating protocols. If we fail to enter into collaboration with additional hospitals under the in-hospital model in a timely and cost-effective manner, or if due to regulatory change or any other reasons, our current partner hospitals terminate their current collaborations with us, our business and prospects could be adversely affected.</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Furthermore, depending on our partner hospitals’ clinical needs and budgets for cancer therapy selection products and services, our revenues from in-hospital business have fluctuated, and may continue to fluctuate from quarter to quarter.</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Clinical collaboration</w:t>
      </w:r>
      <w:r>
        <w:rPr>
          <w:rFonts w:ascii="Arial" w:cs="Arial" w:eastAsia="Arial" w:hAnsi="Arial"/>
          <w:sz w:val="17"/>
          <w:szCs w:val="17"/>
          <w:color w:val="auto"/>
        </w:rPr>
        <w:t>. We have obtained the NMPA approval for one of our NGS reagent kits and in the future we may from time to time seek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NMPA approval for additional products. The NMPA approval involves, among other things, successful completion of clinical trials for these products. We may rely on our partner hospitals to obtain sufficient data and samples to cost-effectively and timely perform these clinical trials. If we fail to establish or maintain clinical collaboration with our partner hospitals, our business and results of operations may be harmed.</w:t>
      </w:r>
    </w:p>
    <w:p>
      <w:pPr>
        <w:spacing w:after="0" w:line="17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b w:val="1"/>
          <w:bCs w:val="1"/>
          <w:i w:val="1"/>
          <w:iCs w:val="1"/>
          <w:color w:val="auto"/>
        </w:rPr>
        <w:t>We require substantial funding for our operations. If we cannot raise sufficient additional capital on acceptable terms, our business, financial condition and prospects may be adversely affected.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require substantial capital to fund our existing operations, commercialize new products, expand our business and pursue strategic investments.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we require substantial capital to:</w:t>
      </w:r>
    </w:p>
    <w:p>
      <w:pPr>
        <w:spacing w:after="0" w:line="11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our early cancer detection technologies and develop early cancer detection product candidates;</w:t>
      </w:r>
    </w:p>
    <w:p>
      <w:pPr>
        <w:spacing w:after="0" w:line="130" w:lineRule="exact"/>
        <w:rPr>
          <w:rFonts w:ascii="Arial" w:cs="Arial" w:eastAsia="Arial" w:hAnsi="Arial"/>
          <w:sz w:val="18"/>
          <w:szCs w:val="18"/>
          <w:color w:val="auto"/>
        </w:rPr>
      </w:pPr>
    </w:p>
    <w:p>
      <w:pPr>
        <w:ind w:left="5580" w:right="400" w:hanging="4924"/>
        <w:spacing w:after="0" w:line="449" w:lineRule="auto"/>
        <w:tabs>
          <w:tab w:leader="none" w:pos="10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our products and services and address competitive developments; 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and marketing approvals for our tests;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and retain additional personnel, such as scientists and sales and marketing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acquire and improve operational, financial and management information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finance general and administrative expenses;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Based on our current business plan, we believe our cash and cash equivalents, together with our cash generated from financing activities, our initial public offering and private placement will be sufficient to meet our current and anticipated needs for general corporate purposes for at least the next 12 months. If our available cash balances and current and anticipated cash flow from operations are insufficient to satisfy our liquidity requirements, in particular, for the development and commercialization of our products, we may seek to obtain further funding through public or private equity offerings, debt financings or other sources.</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Further financing may not be available to us on acceptable terms, or at all. If we fail to raise capital as and when needed it would have a negative impact on our financial condition and our ability to pursue our business strategy. In addition, if we raise funds by issuing debt securities or incurring additional borrowings, the terms of debt securities issued or borrowings could impose significant restrictions on our operations, and we may be unable to repay the indebtedness when due. If we raise funds by issuing equity securities, your investment in our company could be diluted.</w:t>
      </w:r>
    </w:p>
    <w:p>
      <w:pPr>
        <w:spacing w:after="0" w:line="15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b w:val="1"/>
          <w:bCs w:val="1"/>
          <w:i w:val="1"/>
          <w:iCs w:val="1"/>
          <w:color w:val="auto"/>
        </w:rPr>
        <w:t>We depend on third-party suppliers and service providers for different aspects of our business. If these suppliers and service providers can no longer provide satisfactory products or services to us on commercially reasonable terms, our business and results of operations could be adversely affected.</w:t>
      </w:r>
    </w:p>
    <w:p>
      <w:pPr>
        <w:spacing w:after="0" w:line="184"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We depend on third parties for different aspects of our business, such as supplying sequencers, reagents and other laboratory equipment and materials, and collecting and delivering samples for our cancer therapy selection tests. Selecting, managing and supervising these third-party suppliers and service providers requires significant resources and expertise. Poor performance by these third parties, including their failure to provide services or products according to applicable legal and regulatory requirements, the terms of our contracts or otherwise below standard, could significantly and negatively affect the quality of our cancer therapy selection tests and damage our reputation. For example, we rely on third-party delivery service providers to transport liquid biopsy and tissue samples to our laboratory. Disruptions in such delivery services, whether due to labor disruptions, bad weather, natural disaster, terrorist acts or threats or for other reasons could adversely affect specimen integrity and our ability to process samples and conduct tests in a timely manner and to service our customers satisfactorily, and ultimately our reputation and our business. In addition, if we are unable to continue to obtain expedited delivery services on commercially reasonable terms, our operating results may be adversely affected.</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the service or cooperative agreements we have with third-party suppliers and service providers are generally not on an exclusive basis. If these third parties do not continue to maintain or expand their cooperation with us, we would be required to seek new substitutes for these third-party material or service providers, which could disrupt our operations and adversely affect our results of operations.</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b w:val="1"/>
          <w:bCs w:val="1"/>
          <w:i w:val="1"/>
          <w:iCs w:val="1"/>
          <w:color w:val="auto"/>
        </w:rPr>
        <w:t>If we cannot maintain or develop relationships with our research partners, the market adoption and endorsement of our products and services could suffer, which could in turn reduce our revenue prospects.</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Currently, we have wide academic collaborations with oncology key opinion leaders, who conducted clinical trials and research studies on cancer targeted therapies and immunotherapies using our products. We believe our relationships with oncology key opinion leaders, as well as the resulting peer-to-peer interaction they generated, have been instrumental in raising the awareness of our technology platform, endorsing the high quality of our cancer therapy selection capabilities and driving adoption of our products. In addition, we collaborate with pharmaceutical companies who employ cancer therapy selection using our products and services to help develop new drugs for targeted therapies and immunotherapies on various types of cancers. We believe their rigorous standards for the consistency and accuracy of cancer therapy selection results provide validation and endorsement for our technology platform and our products.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future success depends in part on our ability to maintain these relationships and to establish new relationships. Many factors have the potential to impact such collaborations, with both key opinion leaders and pharmaceutical companies, including the type of biomarker support required and our ability to deliver it, pharmaceutical companies’ satisfaction with our products or services, and our ability to pass the periodic or random inspections of our pharmaceutical company partners, and other factors that may be beyond our control. Furthermore, our research partners may decide to decrease or discontinue their use of our products and services due to changes in their research focus; pharmaceutical companies may decide to cease or change their new drugs development plans due to various reasons, such as failures in their clinical trials, financial constraints, or utilization of internal testing resources or tests performed by other parties, or other circumstances outside of our control. We cannot assure you that such existing relationships will continue, or if we establish new relationships with other key opinion leaders and pharmaceutical companies, the resulting relationship will be successful or that academic research and clinical studies conducted as part of the collaborations will produce successful outcomes.</w:t>
      </w:r>
    </w:p>
    <w:p>
      <w:pPr>
        <w:spacing w:after="0" w:line="166"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b w:val="1"/>
          <w:bCs w:val="1"/>
          <w:i w:val="1"/>
          <w:iCs w:val="1"/>
          <w:color w:val="auto"/>
        </w:rPr>
        <w:t>We rely on a limited number of suppliers for some of our laboratory equipment and supplies and may not be able to find replacements or immediately transition to alternative suppliers.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source sequencers, reagents and certain other laboratory supplies used in our laboratory operations from a limited number of suppliers. Our suppliers are typically trading companies that procure laboratory supplies from a variety of manufacturers. Our laboratory operations may be interrupted if we encounter delays or difficulties in securing these supplies, or if we become unable to procure supplies from any of these suppliers due to their lack of required licenses, permits or certifications. If we cannot timely obtain an acceptable substitute, our business, financial condition, results of operations and reputation could be adversely affected.</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believe that there are a number of replacement suppliers that are capable of supplying all of the sequencers, reagents and other laboratory supplies necessary for our laboratory operations. However, the use of laboratory equipment and supplies furnished by any replacement suppliers may require us to alter our laboratory operations. Transitioning to a new supplier may be time consuming and expensive, result in interruptions in our laboratory operations or require that we revalidate our cancer therapy selection test products and services. There can be no assurance that we will be able to bring the equipment and supplies supplied by these replacement suppliers online and revalidate them without experiencing interruptions in our workflow. In addition, there can be no assurance that replacement suppliers will meet our quality control and performance requirements. If we encounter delays or difficulties in securing, reconfiguring or revalidating the laboratory equipment and supplies we require for our laboratory operations, our business, financial condition, results of operations and reputation could be adversely affected.</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If we are unable to support the demand for our current or future products and services, including ensuring that we have adequate capacity to meet increased demand, our business could suffer.</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Since our inception, we have experienced rapid growth, and we anticipate further growth in our business operations. Our growth could strain our organizational, administrative and operational infrastructure. As the sales volume of our cancer therapy selection products and services grows, we will face increased demands on our capacity and efficiency for sample intake, testing results analysis and other laboratory operations, quality control, customer service, and general workflow management processes.</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To maintain the quality and expected turnaround time of our tests and effectively meet increased demand, we must continue to improve our operational, financial and management controls and hire, train and manage additional qualified scientists, laboratory personnel and sales and marketing personnel. Failure to do so could adversely affect our business, financial condition and results of operations. For example, if we encounter difficulties in scaling our operations as a result of quality control and quality assurance issues, we will likely experience reduced sales of our cancer therapy selection tests, increased repair or re-engineering costs and increased expenses due to switching to alternate suppliers, any of which would adversely affect our results of operations.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We face risks related to natural disasters, health epidemics, civil and social disruption and other outbreaks, which could significantly disrupt our operations. In particular, the COVID-19 outbreak in China and worldwide has adversely affected, and may continue to adversely affect, our business, results of operations and financial condition.</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are vulnerable to social and natural catastrophic events that are beyond our control, such as natural disasters, health epidemics, and other catastrophes, which may materially and adversely affect our business. Since December 2019, a novel strain of coronavirus, or COVID-19, has become widespread in China and around the world. In March 2020, the World Health Organization declared the COVID-19 a pandemic, given its threat beyond a public health emergency of international concern that the organization had declared in January 2020. Since the beginning of 2020, China and many other countries have taken various restrictive measures to contain the virus’ spread, such as quarantines, travel restrictions and home office policies. In response to this pandemic, hospitals and physicians across China focused their efforts on treating COVID-19 patients and prioritized resources toward containing the virus, resulting in many diagnostic procedures and cancer therapy selection testing being deferred. As a result, the demand for our products and services under both our central laboratory model and in-hospital model decreased, which adversely affected our business operations and financial performance in the first quarter of 2020. Our revenue and gross profit decreased in the first quarter of 2020 compared to the same period in 2019. Since the second quarter of 2020, both our central laboratory and in-hospital businesses have resumed growth. In 2020, 25,262 patients took our tests, compared to 23,075 patients in 2019, and our reagent kit sales to partner hospitals also increased year over year. Our revenues increased by 12.6% from RMB381.7 million in 2019 to RMB429.9 million (US$65.9 million) in 2020. Our gross profit increased by 14.8% from RMB273.3 million in 2019 to RMB313.9 million (US$48.1 million) in 2020.</w:t>
      </w:r>
    </w:p>
    <w:p>
      <w:pPr>
        <w:spacing w:after="0" w:line="18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While the COVID-19 situation has gradually improved in China and our business has resumed growth, the duration and scope of the COVID-19 outbreak, and the potential downturn brought by the COVID-19 outbreak are difficult to assess or predict. The extent to which the COVID-19 outbreak impacts our business, results of operations and financial condition will depend on many factors beyond our control, including the extent of future resurgences of the disease and its variants, vaccine distribution and other actions in response to the virus or to contain its impact, and we are closely monitoring its impact on us. Our business operations could be disrupted if any of our employees is suspected of contracting COVID-19, since our employees could be quarantined and/or our offices be shut down for disinfection. Our business operations may be adversely affected if our suppliers, partner hospitals or other business partners continue to be affected by COVID-19. Our business, results of operations, financial conditions and prospects could be materially adversely affected to the extent that COVID-19 harms the Chinese and global economy in general, and the trading price of our ADSs may be adversely affected. To the extent the COVID-19 pandemic and the outbreak of other health epidemics adversely affect our business, results of operations, financial conditions and prospects, they may also have the effect of heightening many of the other risks described in this section.</w:t>
      </w:r>
    </w:p>
    <w:p>
      <w:pPr>
        <w:spacing w:after="0" w:line="168"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b w:val="1"/>
          <w:bCs w:val="1"/>
          <w:i w:val="1"/>
          <w:iCs w:val="1"/>
          <w:color w:val="auto"/>
        </w:rPr>
        <w:t>If we cannot compete successfully with our competitors, we may be unable to increase or sustain our revenue or achieve and sustain profitability.</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With the development of NGS and cancer genotyping, China’s NGS-based cancer therapy selection market has become increasingly competitive, and we expect this competition to intensify further in the future. Our principal competition comes from other NGS-based cancer therapy selection companies in China. Some of our existing and potential future competitors may have longer operating histories, larger customer bases, more expansive brand recognition and deeper market penetration, substantially greater financial, technological and research and development resources and selling and marketing capabilities, and more favorable terms from suppliers. As a result, they may be able to respond more quickly to changes in customer requirements or preferences, develop faster, better and more expansive advancements for their technologies and tests, create and implement more successful strategies for the promotion and sale of their tests, adopt more aggressive pricing policies for their tests, secure supplies from vendors on more favorable terms or devote substantially more resources to infrastructure and system development. In addition, competitors may be acquired by, receive investments from or enter into other commercial relationships with larger, well-established and well-financed companies as the use of cancer therapy selection increases. In addition, if we expand into international markets in the future, we could face competition from NGS-based cancer therapy selection companies in these markets.</w:t>
      </w:r>
    </w:p>
    <w:p>
      <w:pPr>
        <w:spacing w:after="0" w:line="18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we are unable to compete successfully with current and future competitors for these or any other reasons, we may be unable to increase market acceptance and sales volume of our tests, which could prevent us from maintaining or increasing our revenue levels or achieving or sustaining profitability or could otherwise negatively affect our performance.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Failure to manage our growth or execute our strategies effectively may adversely affect our business and prospects.</w:t>
      </w:r>
    </w:p>
    <w:p>
      <w:pPr>
        <w:spacing w:after="0" w:line="225"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We have achieved rapid growth in the past few years. If we are not successful in managing our growth or executing our strategies effectively, our business, results of operations, financial condition and future growth may be adversely affected. For example, as part of our growth strategies, we plan to continue our research and development in early cancer detection, which is technically challenging. In addition, we will continue to implement the strategy to expand our collaboration with partner hospitals under the in-hospital model. As China is a large and diverse market, industry trends and clinical demands may vary significantly by regions. Our experience in collaborations with partner hospitals in major cities under the in-hospital model may not be applicable in hospitals located in other cities. As a result, we may not be able to leverage our experience to expand into local or regional hospitals in other parts of China. Any failure to effectively manage our growth or execute our strategies, including our early cancer detection research and development and our collaboration with hospitals under the in-hospital model, could have an adverse impact on our business and prospects.</w:t>
      </w:r>
    </w:p>
    <w:p>
      <w:pPr>
        <w:spacing w:after="0" w:line="16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promote our brand and protect our reputation. If we are unable to effectively promote our brand, our business may be adversely affected.</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believe that enhancing and maintaining awareness of our “Burning Rock” brand is critical to achieving widespread acceptance of our cancer therapy selection products, gaining trust for our testing services and attracting new customers. Successful promotion of our brand depends largely on the quality of the products and services we offer and the effectiveness of our branding and marketing efforts. Currently, we rely primarily on our own sales and marketing team to promote our brand and our cancer therapy selection products and testing services. We expect that our branding and marketing efforts will require us to incur significant expenses and devote substantial resources. We cannot guarantee that our sales and marketing efforts will be successful. Brand promotion activities may not lead to increased revenue in the near term, and, even if they do, any revenue increases may not offset the expenses we incur to promote our brand. Our failure to establish and promote our brand and any damage to our reputation will hinder our growth. In addition, our reputation may be undermined as a result of the negative publicity about our company or our industry in general. If cancer therapy selection products or services provided by us or our competitors do not perform to customers’ expectations, it may result in lower confidence in cancer therapy selection in general, which may in turn impair our operating results and our reputation.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Failure to attract and retain our senior management and other key employees could adversely affect our business.</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future success is significantly dependent upon the continued service of our senior management, such as Mr. Yusheng Han, our chairman of the board of directors and chief executive officer. If we lose their services, we may not be able to locate suitable or qualified replacements, and we may incur additional expenses to recruit new senior management team members, which could severely disrupt our business and growth. In addition, if these personnel join our competitors or form a competing business, our business and prospects could be adversely affected.</w:t>
      </w:r>
    </w:p>
    <w:p>
      <w:pPr>
        <w:spacing w:after="0" w:line="15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research and development activities and laboratory operations depend upon our ability to attract and retain highly skilled scientists and technicians. We are also in strong need of sales and marketing personnel with the relevant technology background and industry expertise in order to effectively conduct our sales and marketing activities and increase our hospital network. We face intense competition for qualified individuals from numerous biotechnology and pharmaceutical companies, universities, governmental entities and other research institutions. We may be unable to attract and retain suitably qualified individuals, and our failure to do so could adversely affect our business.</w:t>
      </w:r>
    </w:p>
    <w:p>
      <w:pPr>
        <w:spacing w:after="0" w:line="17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If our central laboratory fails to comply with applicable laboratory licensing requirements, or become damaged or inoperable, our ability to perform tests may be jeopardized.</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currently derive a substantial majority of our revenue from tests performed at our central laboratory located in Guangzhou, Guangdong Province, China.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Currently, our central laboratory holds an NGS laboratory certificate issued by Guangdong Branch of the NCCL in May 2018. This certificate is valid for five years and its renewal is conditioned upon additional inspection on a regular and irregular basis. Our central laboratory is in the process of renewing our clinical PCR testing laboratory certificate issued by Guangdong Branch of the NCCL, which expired in August 2020. The renewal of this certificate is taking longer than expected due to the COVID-19 pandemic. If our central laboratory loses this certificate or fails to renew this certificate in a timely manner, or at all, whether as a result of revocation, suspension, limitation or any other external factors beyond our control, we would no longer be able to perform our tests, which could have an adverse effect on our business, financial condition and results of operations. In addition, we have voluntarily obtained certification from the CLIA to perform laboratory examinations and procedures on human specimens and the certification was successfully renewed in October 2020. We had also voluntarily obtained accreditation from the CAP for our central laboratory, which we filed application for renewal in October 2020. The renewal of this accreditation is taking longer than expected due to the COVID-19 pandemic. As a condition of the CLIA certification and the CAP accreditation, our central laboratory is subject to survey and inspection every other year, in addition to being subject to additional random inspections. There is no assurance that we could maintain or successfully renew the CLIA certification and the CAP accreditation. Loss of, or failure to renew, our CLIA certificate or CAP accreditation may have an adverse effect on our business and reputation.</w:t>
      </w:r>
    </w:p>
    <w:p>
      <w:pPr>
        <w:spacing w:after="0" w:line="16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addition, our laboratory facilities and equipment could be harmed or rendered inoperable by natural or man-made disasters, including war, fire, earthquake, power loss, communications failure or terrorism, which may render it difficult or impossible for us to perform tests for some period of time. We do not carry any insurance for damage to our property and the disruption of our business. Damages to, or interruptions in the operations of, our laboratory and other facilities could have an adverse impact on our results of operations and financial condition.</w:t>
      </w:r>
    </w:p>
    <w:p>
      <w:pPr>
        <w:spacing w:after="0" w:line="17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Furthermore, our laboratory facilities and equipment could be unavailable or costly and time-consuming to repair or replace. It would be difficult, time-consuming and expensive to rebuild our laboratory facilities, to locate and qualify a new facility or license or transfer our proprietary technology to a third-party to conduct our tests at their facilities, particularly in light of licensure and accreditation requirements. Even in the unlikely event we are able to find a third party with such qualifications to enable us to conduct our tests, we may be unable to negotiate commercially reasonable terms.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w:t>
      </w:r>
    </w:p>
    <w:p>
      <w:pPr>
        <w:spacing w:after="0" w:line="22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depend on information technology systems for significant elements of our operations. We have also installed a number of enterprise software systems that affect a broad range of business processes and functional areas, including for example, systems handling human resources, financial controls and reporting, contract management, regulatory compliance, and other infrastructure operations. These information technology systems support a variety of functions, including laboratory operations, test validation, sample tracking, quality control, customer service support, billing and reimbursement, research and development activities, scientific and medical curation, and general administrative activities.</w:t>
      </w:r>
    </w:p>
    <w:p>
      <w:pPr>
        <w:spacing w:after="0" w:line="16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Information technology systems are vulnerable to damage from a variety of sources, including telecommunications or network failures, malicious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our information technology or telecommunications systems or those used by third-party service providers could prevent us from conducting our daily operations. Any disruption or loss of information technology systems on which critical aspects of our operations depend could have an adverse effect on our business.</w:t>
      </w:r>
    </w:p>
    <w:p>
      <w:pPr>
        <w:spacing w:after="0" w:line="16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b w:val="1"/>
          <w:bCs w:val="1"/>
          <w:i w:val="1"/>
          <w:iCs w:val="1"/>
          <w:color w:val="auto"/>
        </w:rPr>
        <w:t>Security threats to our information technology infrastructure and unauthorized use of data by third parties could expose us to liability or damage our reputation and business.</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Our information technology systems store and process a variety of sensitive data, including our proprietary business information, as well as patients’ personal data such as health information and personally identifiable information.</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It is essential that our information technology infrastructure remains secure and is perceived by hospitals, patients and our research partners to be secure. Despite our security measures, we may face cyber-attacks that attempt to penetrate our network security, sabotage or otherwise disable our research, tests and services, misappropriate our proprietary business information or cause interruptions of our internal systems and services. Any cyber-attacks could negatively affect our reputation, damage our network infrastructure and our ability to deploy our products and services, harm our relationship with customers and research partners, and expose us to significant financial liabilities.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Moreover, we may not be able to prevent third parties from illegally obtaining and misappropriating personal data of the tested patients that we collect. Concerns about data leakage or unauthorized use of data by third parties, even if unfounded, could damage our reputation and negatively affect our results of operations.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are unable to effectively protect our intellectual property, our business and competitive position would be harmed.</w:t>
      </w:r>
    </w:p>
    <w:p>
      <w:pPr>
        <w:spacing w:after="0" w:line="225"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We rely on patents, software copyrights, trademarks, trade secrets and other intellectual property rights protection and contractual restrictions to protect our products, services and technologies. We have registered a number of patents and trademarks in China and have applied for additional patent registrations in China, Hong Kong, the U.S., the European Union and Japan. However, such protection is limited and may not adequately protect our rights. For example, some of the trademark applications for the labels we use in our products have been rejected by the Trademark Office of National Intellectual Property Administration for the reason that they have been preemptively registered by an independent third party. In December 2019, we filed a request for invalidation against these preemptively registered trademarks. Although the relevant authority ruled in our favor and invalidated the preemptively registered trademarks in November and December 2020, the independent third party may appeal the results to the relevant intellectual property court, which could reverse the rulings. There is no guarantee that we can successfully register such trademarks in a timely manner, if at all.</w:t>
      </w:r>
    </w:p>
    <w:p>
      <w:pPr>
        <w:spacing w:after="0" w:line="16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addition, competitors could purchase our products and attempt to replicate and/or improve some or all of the competitive advantages we derive from our development efforts, willfully infringe our intellectual property rights, and design their devices and tests around our protected technologies or develop their own competitive technologies that fall outside of our intellectual property rights.</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Monitoring unauthorized disclosure and uses of our trade secrets is difficult, and we do not know whether the steps we have taken to prevent such disclosure and uses are, or will be, adequate. If we resort to litigation to enforce or protect our intellectual property rights, such litigation could result in substantial costs and a diversion of our managerial and financial resources, while the outcome would be unpredictable and any remedy may be inadequate. Our contractual agreements may be breached by our counterparties, and there may not be adequate remedies available to us for any such breach. In addition, our trade secrets may be leaked or otherwise become available to, or be independently discovered by, our competitors, and we would have no right to prevent others from using them. Moreover, if a party having an agreement with us has an overlapping or conflicting obligation to a third party, our rights in and to certain intellectual property could be undermined.</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fail to effectively protect our intellectual property, our competitive position and prospects could be adversely affected.</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b w:val="1"/>
          <w:bCs w:val="1"/>
          <w:i w:val="1"/>
          <w:iCs w:val="1"/>
          <w:color w:val="auto"/>
        </w:rPr>
        <w:t>We may be subject to intellectual property infringement or misappropriation claims by third parties, which may force us to incur substantial legal expenses and, if determined adversely against us, could disrupt our business.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validity, enforceability and scope of intellectual property rights protection in China are uncertain and still evolving. We cannot be certain that our products, tests and technologies do not or will not infringe patents, software copyrights, trademarks or other intellectual property rights held by third parties. From time to time, we may be subject to legal proceedings and claims alleging infringement of patents, trademarks or copyrights, or misappropriation of creative ideas or formats, or other infringement of proprietary intellectual property rights. Any such proceedings and claims could result in significant costs to us and divert the time and attention of our management and technical personnel from the operation of our business. These types of claims could also potentially adversely impact our reputation and our ability to conduct business and raise capital, even if we are ultimately absolved of all liability. Moreover, third parties making claims against us may be able to obtain injunctive relief against us, which could block our ability to offer one or more devices or tests and could result in a substantial award of damages against us. In addition, since we sometimes indemnify our customers or collaboration partners, we may have additional liability in connection with any infringement or alleged infringement of third party intellectual property. Intellectual property litigation can be very expensive, and we may not have the financial means to defend ourselves or our customers or collaboration partners.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Because patent applications can take many years to issue, there may be pending applications, some of which are unknown to us, that may result in issued patents upon which our products, tests or proprietary technologies may infringe. Moreover, we may fail to identify issued patents of relevance or incorrectly conclude that an issued patent is invalid or not infringed by our technology or any of our devices or tests. There is a substantial amount of litigation involving patents and other intellectual property rights in our industry. If a third-party claims that we infringe upon a third-party’s intellectual property rights, we may have to:</w:t>
      </w:r>
    </w:p>
    <w:p>
      <w:pPr>
        <w:spacing w:after="0" w:line="93"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to obtain licenses that may not be available on commercially reasonable terms, if at all;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abandon any product alleged or held to infringe, or redesign our products or processes to avoid potential assertion of infringement;</w:t>
      </w:r>
    </w:p>
    <w:p>
      <w:pPr>
        <w:spacing w:after="0" w:line="142" w:lineRule="exact"/>
        <w:rPr>
          <w:rFonts w:ascii="Arial" w:cs="Arial" w:eastAsia="Arial" w:hAnsi="Arial"/>
          <w:sz w:val="17"/>
          <w:szCs w:val="17"/>
          <w:color w:val="auto"/>
        </w:rPr>
      </w:pPr>
    </w:p>
    <w:p>
      <w:pPr>
        <w:ind w:left="1080" w:right="4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substantial damages including, in exceptional cases, treble damages and attorneys’ fees, if a court decides that the device, test or proprietary technology at issue infringes upon or violates the third-party’s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substantial royalties or fees or grant cross-licenses to our technology;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defend litigation or administrative proceedings that may be costly whether we win or lose, and which could result in a substantial diversion of our financial and management resources.</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b w:val="1"/>
          <w:bCs w:val="1"/>
          <w:i w:val="1"/>
          <w:iCs w:val="1"/>
          <w:color w:val="auto"/>
        </w:rPr>
        <w:t>Ethical, legal and social concerns related to the use of genomic information could reduce demand for our cancer therapy selection testing products and services.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Cancer therapy selection, especially cancer genotyping, has raised ethical, legal and social issues regarding privacy and the appropriate uses of the resulting information. Government authorities could, for social or other purposes, limit or regulate the use of genomic information or prohibit testing for genomic predisposition to certain conditions, particularly for those that have no known cure. Similarly, these concerns may cause patients to refuse to use, or physicians to be reluctant to order, cancer therapy selection tests such as ours, even if permissible. These and other ethical, legal and social concerns may limit market acceptance and adoption of our tests or reduce the potential markets for our tests, any of which could have an adverse effect on our business, financial condition and results of operations.</w:t>
      </w:r>
    </w:p>
    <w:p>
      <w:pPr>
        <w:spacing w:after="0" w:line="178"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b w:val="1"/>
          <w:bCs w:val="1"/>
          <w:i w:val="1"/>
          <w:iCs w:val="1"/>
          <w:color w:val="auto"/>
        </w:rPr>
        <w:t>If we fail to implement or maintain an effective system of internal controls over financial reporting to remediate our material weaknesses, we may be unable to accurately report our results of operations, meet our reporting obligations or prevent fraud.</w:t>
      </w:r>
    </w:p>
    <w:p>
      <w:pPr>
        <w:spacing w:after="0" w:line="14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are not required to provide a report of management on our internal controls and procedures over financial reporting and our independent registered public accounting firm is not required to conduct an audit of our internal control over financial reporting due to a transition period established by the rules of the SEC for newly public companies. We and our independent registered public accounting firm identified two material weaknesses in our internal control over financial reporting in connection with the audit of our consolidated financial statements for the years ended December 31, 2018 and 2019. The material weaknesses identified relate to (i) the lack of sufficient accounting and financial reporting personnel with requisite knowledge and experience in application of U.S. GAAP and SEC rules, and (ii) the lack of financial reporting policies and procedures that are commensurate with U.S. GAAP and SEC reporting requirements. The U.S. Public Company Accounting Oversight Board, or PCAOB, defines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believe that the measures we have taken enhanced our internal control over financial reporting and were sufficient to remediate the identified material weaknesses. See “Item 15. Controls and Procedures—Management’s Annual Report on Internal Control over Financial Reporting.” However,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w:t>
      </w:r>
    </w:p>
    <w:p>
      <w:pPr>
        <w:spacing w:after="0" w:line="1"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Section 404. Due to its inherent limitations, there is no assurance that an internal control system can detect all errors or instances of fraud, if any, within our company. If we fail to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ADSs, may be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9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b w:val="1"/>
          <w:bCs w:val="1"/>
          <w:i w:val="1"/>
          <w:iCs w:val="1"/>
          <w:color w:val="auto"/>
        </w:rPr>
        <w:t>Past and future grants of share-based awards may have an adverse effect on our financial condition and results of operations and have dilutive impact to your investment.</w:t>
      </w:r>
    </w:p>
    <w:p>
      <w:pPr>
        <w:spacing w:after="0" w:line="170"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adopted a share incentive plan in May 2020, which we refer to as the 2020 Plan in this annual report, to grant share-based compensation awards to employees, directors and consultants to incentivize their performance and align their interests with ours. The maximum aggregate number of ordinary shares we are authorized to issue pursuant to all awards under the 2020 Plan is 4,512,276 ordinary shares. We have also separately issued share incentive awards to our directors, officers and employees outside of the 2020 Plan. As of the date of this annual report, we had 8,561,554 Class A ordinary shares underlying outstanding share options, restricted shares and restricted share units. See “Item 6. Directors, Senior Management and Employees—B. Compensation—Share Incentive Awards.”</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believe the granting of share-based awards is of significant importance to our ability to attract and retain key personnel and employees, and we will continue to grant share-based compensation to employees, directors and consultants in the future. As a result, our expenses associated with share-based compensation may increase, which may have an adverse effect on our financial condition and results of operations.</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and other claims and legal proceedings, and may not always be successful in defending ourselves against these claims or proceedings.</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may be subject to and involved in lawsuits and other claims in the ordinary course of our business. We may from time to time be subject to lawsuits and other legal proceedings brought by our customers, competitors, employees, business partners, investors, other shareholders of the companies we invest, or other entities against us in the ordinary course of our business. We may also be subject to regulatory proceedings in the ordinary course of our business. We may not be successful in defending ourselves, and the outcomes of these lawsuits and proceedings may be unfavorable to us. Lawsuits and regulatory proceedings against us may also generate negative publicity that significantly harms our reputation, which may adversely affect our customer base, market position and our relationships with our research partners and other business partners. In addition to the related costs, managing and defending litigation and other legal proceedings and related indemnity obligations can significantly divert our management’s attention from operating our business. We may also need to pay damages or settle lawsuits or other claims with a substantial amount of cash, negatively affecting our liquidity. As a result, our business, financial condition and results of operations could be adversely affected.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Government Regulations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We are subject to extensive legal and regulatory requirements in China for our cancer therapy selection products and services. Any lack of requisite certificates, licenses or permits applicable to our business may have an adverse impact on our business, financial condition and results of operations.</w:t>
      </w:r>
    </w:p>
    <w:p>
      <w:pPr>
        <w:spacing w:after="0" w:line="18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are engaged in the purchase, manufacturing, sale and usage of certain imported laboratory equipment, NGS-based cancer therapy selection products and related software. The laws and regulations regulating NGS-based cancer therapy selection products are still in a preliminary stage of development in China. In accordance with current PRC laws and regulations, certain of these equipment, products and software are regulated as medical devices and are required to obtain and maintain various certificates, licenses and permits, including but not limited to medical device record-filing certificates, medical device manufacturing licenses, medical device registration certificates and medical device operation licenses.</w:t>
      </w:r>
    </w:p>
    <w:p>
      <w:pPr>
        <w:spacing w:after="0" w:line="161"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Although we obtained China’s first medical device registration certificate for NGS-based cancer therapy selection, as of the date of this annual report, certain of these equipment, products and software have not obtained the required certificates, licenses or permits. In China, very</w:t>
      </w:r>
    </w:p>
    <w:p>
      <w:pPr>
        <w:ind w:left="120" w:right="100"/>
        <w:spacing w:after="0" w:line="255" w:lineRule="auto"/>
        <w:rPr>
          <w:sz w:val="20"/>
          <w:szCs w:val="20"/>
          <w:color w:val="auto"/>
        </w:rPr>
      </w:pPr>
      <w:r>
        <w:rPr>
          <w:rFonts w:ascii="Arial" w:cs="Arial" w:eastAsia="Arial" w:hAnsi="Arial"/>
          <w:sz w:val="18"/>
          <w:szCs w:val="18"/>
          <w:color w:val="auto"/>
        </w:rPr>
        <w:t>few NGS-based cancer therapy selection products have obtained medical device registration certificates issued by the competent Chinese governmental authorities. It is uncertain whether we can obtain all medical device registration certificates for our NGS-based cancer therapy selection products and how long it will take to obtain such registration certificates.</w:t>
      </w:r>
    </w:p>
    <w:p>
      <w:pPr>
        <w:spacing w:after="0" w:line="190"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In addition, we have obtained the NMPA approval for one of our NGS reagent kits and may seek to obtain such approvals for our other NGS reagent kits or any other products currently under development, including our early cancer detection products, from time to time. The NMPA has substantial discretion in the approval process and may refuse to accept any application or may decide that our data are insufficient for approval and require additional pre-clinical, clinical or other studies. The process of obtaining NMPA approvals is inherently uncertain and there is no guarantee that our existing or future products could successfully obtain NMPA approvals in a timely manner, if at all. Delays or failure in obtaining NMPA approvals of our products could result in substantial additional costs, adversely affect our ability to compete with other companies, and negatively affect investors’ confidence in our financial performance and business prospects. Even if the NMPA approval is ultimately granted, we may not successfully maintain or renew the approval and the approval may be withdrawn. Any NMPA approval received may also restrict the intended use and marketing of the product we want to commercialize.</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the date of this annual report, we have not been subject to any penalties from the relevant authorities for the purchase, manufacture, sale and usage of these equipment, products and software. As advised by our PRC counsel, Shihui Partners, the risk of penalties imposed by the competent authorities is relatively low. However, we cannot assure you that the competent governmental authorities will not take different views or interpretations from us or our PRC counsel, or enact new detailed or more restrictive rules and regulations. Failure to comply with laws or regulations may subject us to penalties, including fines, confiscation of these equipment, products and software and suspension of business, and our business and results of operations could be adversely affected.</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are subject to ongoing obligations and continued regulatory review. There could be a subsequent discovery of previously unknown problems with our cancer therapy selection products and services. Any government investigation of alleged violations of law could require us to expend significant time and resources and could result in adverse government actions and negative publicity.</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b w:val="1"/>
          <w:bCs w:val="1"/>
          <w:i w:val="1"/>
          <w:iCs w:val="1"/>
          <w:color w:val="auto"/>
        </w:rPr>
        <w:t>Failure to comply with existing or future laws and regulations related to the management of human genetic resources in China could lead to government enforcement actions, which could include civil or criminal fines or penalties, private litigation, other liabilities, and/or adverse publicity. Compliance or the failure to comply with such laws could increase the costs of, limit and cause significant delay in our clinical studies and research and development activities, and could otherwise materially and adversely affect our operating results, business and prospects.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Laws and regulations related to the management of human genetic resources in China are rapidly evolving and the enforcement thereof is likely to remain uncertain for the foreseeable future. On June 10, 1998, the Ministry of Science and Technology, or MOST, and the Ministry of Health jointly established the rules for protecting and utilizing human genetic resources, or HGR, in China. From 2006 to 2016, MOST and other regulatory agencies in China have been focused on HGR legislation, and proactively sought opinions from the public on draft regulations. In 2015, MOST issued a Guideline on HGR and reinforced its legislative efforts in HGR administration. In May 2019, the Regulation on Human Genetic Resources Management, or the HGR Regulation, was put in place. The State Council promulgated the HGR Regulation on June 10, 2019 and it became effective on July 1, 2019.</w:t>
      </w:r>
    </w:p>
    <w:p>
      <w:pPr>
        <w:spacing w:after="0" w:line="19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HGR Regulation prohibits foreign entities or individuals or such entities established or actually controlled thereby, or “Foreign Persons,” from collecting or preserving China HGR in China, or providing China HGR abroad, whereas activities of collection and preservation of organs, tissues and cells for purposes of clinical diagnosis and treatment, service of blood collection and provision, investigation of illegal activities, doping test and funeral service, are required to be conducted in accordance with other relevant laws and regulations. The HGR Regulation permits Foreign Persons’ limited use of China HGR “to carry out scientific research activities,” which must be conducted through collaboration with Chinese scientific research institutions, higher education institutions, medical institutions, or enterprises, collectively, the “Chinese Entities.” Such activities must be approved by MOST, and the application for approval must be filed jointly by the Foreign Person and the relevant Chinese Entity. The only exception to the approval requirement is “international collaboration in clinical trials” that do not involve the outbound transfer of China HGR materials such as organs, tissues, or cells comprising the human genome, genes, or other genetic substances, collectively, China HGR Materials. Such clinical trial collaboration, however, must still be pre-registered with MOST. There remain significant uncertainties as to how provisions of the HGR Regulation might be interpreted and implemented. A VIE entity actually controlled by a foreign entity through contractual agreements would be deemed as a Foreign Person under the HGR Regulation. Short-term storage of samples of laboratory testing by foreign laboratories or foreign-invested laboratories may also be interpreted as preserving China HGR, thus being subjected to MOST application, approval or pre-registration processes.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October 17, 2020, the Standing Committee of the NPC promulgated the Biosecurity Law of the PRC which will become effective from</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15, 2021. The new law, among other things, restates relevant approval or pre-registration requirements of HGR collection, preservation, utilization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external provision, as provided in the HGR Regulation. Moreover, the promulgation of the new law, which takes the form of national law, further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demonstrates the commitments of protecting China HGR and safeguarding state biosecurity by the PRC government.</w:t>
      </w:r>
    </w:p>
    <w:p>
      <w:pPr>
        <w:spacing w:after="0" w:line="21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As a company with a VIE structure since our inception, we are deemed as a Foreign Person under the HGR Regulation. As a result, when conducting or participating in research and clinical studies that involve any of our products, performing clinical studies for any of our pipeline products that are under development (including our early detection products), or providing companion diagnostics services to pharmaceutical companies, we are required to seek approval of or make pre-registration with MOST with respect to our collaborations with Chinese Entities under the HGR Regulation. These procedures could be lengthy and require additional expenses, and there is no assurance that we can complete these pre-registrations, or obtain such approvals, in a timely manner, or at all. As a result, our clinical studies and research and development activities of any of our products or pipeline products that are under development (including our early detection products), and our companion diagnostics development services to pharmaceutical companies may suffer significant delay, experience suspension, rejections, cancellations and other obstacles. As a result, our business, financial conditions, results of operations and prospects could be materially adversely affected.</w:t>
      </w:r>
    </w:p>
    <w:p>
      <w:pPr>
        <w:spacing w:after="0" w:line="16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As of the date of this annual report , we, same as our peer companies in the healthcare industry in China, have received and may continue receiving notices from the relevant governmental authorities requiring us to share HGR-related information with competent government agencies from time to time, and have complied with all such requests. As of the same date, we have not been subject to any penalties from the competent governmental authorities for our business operations or clinical studies involving the use of China HGR. However, regulatory agencies in China may change their enforcement practices. Therefore, prior enforcement activity, or lack of enforcement activity, is not necessarily predictive of future actions. Failure to comply with existing or future HGR laws and regulations, including the HGR Regulation and the Biosecurity Law, may subject us to penalties, including fines, suspension of related activities and confiscation of related HGR and gains generated from conducting these activities.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The evolving government regulations may place additional burdens on our efforts to commercialize our products and services.</w:t>
      </w:r>
    </w:p>
    <w:p>
      <w:pPr>
        <w:spacing w:after="0" w:line="23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 PRC government has introduced various reforms to the Chinese healthcare system in recent years and may continue to do so, with an overall objective of expanding basic medical insurance coverage and improve the quality and reliability of healthcare services. The specific regulatory changes under the reforms still remain uncertain. The implementing measures to be issued may not be sufficiently effective to achieve the stated goals, and as a result, we may not be able to benefit from these reforms to the level we expect, if at all. Moreover, the reforms could give rise to regulatory developments, such as more burdensome administrative procedures, which may have an adverse effect on our business and prospects.</w:t>
      </w:r>
    </w:p>
    <w:p>
      <w:pPr>
        <w:spacing w:after="0" w:line="16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addition, laws and regulations in China, including those regulating medical devices and supplies, are rapidly evolving. Changes in these areas could impose more stringent requirements on us and increase our compliance and other operating costs, and we may not be able to achieve or sustain profitability. Changes in government regulations could also prevent, limit or delay regulatory approvals in relation to our NGS-based cancer therapy selection products and services. Moreover, regulatory authorities may conduct periodic or unannounced inspections on pharmaceutical and medical device companies to check if these companies’ manufacturing, quality control and procurement, among others, are in compliance with relevant laws and regulations. If we are not able to maintain regulatory compliance or pass regulatory inspections, any regulatory approval that has been obtained may be revoked, and we may be required to recall our current or future products, or even to partially suspend or totally shut down our production. In addition, regulatory changes may relax certain requirements that could benefit our competitors or lower market entry barriers and increase competition. Further, regulatory agencies in China may periodically, and sometimes abruptly, change their enforcement practices. Any litigation or governmental investigation or enforcement proceedings against us in China may be protracted and may result in substantial costs and diversion of resources and management attention, negative publicity, damage to our reputation and decline in the price of our ADSs.</w:t>
      </w:r>
    </w:p>
    <w:p>
      <w:pPr>
        <w:spacing w:after="0" w:line="17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Furthermore, China’s regulatory framework governing genetic testing is also in the preliminary stage and rapidly evolving. The evolution of government regulations and their interpretation and enforcement involve significant uncertainties, which may place additional burdens on us or even render it impossible for us to comply with certain regulations. For example, in February 2014, two government agencies jointly published an announcement regarding the clinical application of genetic tests, or Circular 25, which halted the provision of genetic tests unless the clinical laboratory of genetic testing is included in a designated pilot program. Pursuant to Circular 25, in March 2014, the PRC government launched the pilot program that granted permits to NGS laboratories. This pilot program, to our knowledge, has been discontinued. Since no implementing rules for Circular 25 have been promulgated as of the date of this annual report, the provision of genetic testing by biotechnology companies, including us, which were not included in such pilot program, may be deemed by the competent governmental authorities to have violated Circular 25. As advised by our PRC counsel, we believe that the risk of us being found in violation of Circular 25 by providing genetics tests is low given that (i) our central laboratory has obtained the clinical PCR testing laboratory certificate, and we are one of the first biotechnology companies in China that have obtained the NGS laboratory certificate, both issued by the NCCL, according to Administrative Regulations for Clinical Gene Amplification Laboratory of Medical Institutions, and (ii) as of the date of this annual report, the relevant governmental authorities have not imposed any penalties on us, or to our knowledge, on other peer companies conducting genetic testing, for any violation of Circular 25. However, we cannot assure you that the governmental authorities will take the same view with us or our PRC counsel. If the governmental authorities determine that we have violated Circular 25, our business of provision of genetic tests may be halted, which may adversely affect our business and prospects.</w:t>
      </w:r>
    </w:p>
    <w:p>
      <w:pPr>
        <w:spacing w:after="0" w:line="16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b w:val="1"/>
          <w:bCs w:val="1"/>
          <w:i w:val="1"/>
          <w:iCs w:val="1"/>
          <w:color w:val="auto"/>
        </w:rPr>
        <w:t>We may be exposed to liabilities under various anti-corruption laws and regulations. Any determination that we or our employees have violated these laws and regulations could have an adverse effect on our business or our reputation.</w:t>
      </w:r>
    </w:p>
    <w:p>
      <w:pPr>
        <w:spacing w:after="0" w:line="170"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We operate in the healthcare industry in China and are subject to Chinese anti-corruption laws and regulations, which generally prohibit companies and intermediaries from engaging in any bribery, corruption and fraudulent activities, including, among other things, improper payments or other form of bribes to hospitals and physicians in connection with the procurement of products. If we, due to either our own deliberate or inadvertent acts or those of others, fail to comply with applicable anti-corruption laws, our reputation could be harmed and we could incur criminal or civil penalties, other sanctions and/or significant expenses, which could have an adverse effect on our business, including our financial condition, results of operations, cash flows and prospects.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addition, our procedures and controls to monitor anti-bribery compliance may fail to protect us from reckless or criminal acts committed by our employees. We could be liable for actions taken by our employees, including any violations of applicable law in connection with the marketing or sale of our products and services, including China’s anti-corruption laws and the Foreign Corrupt Practices Act of the U.S., or the FCPA. In particular, if our employees make any payments that are forbidden under the FCPA, we could be subject to civil and criminal penalties imposed by the U.S. government.</w:t>
      </w:r>
    </w:p>
    <w:p>
      <w:pPr>
        <w:spacing w:after="0" w:line="15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b w:val="1"/>
          <w:bCs w:val="1"/>
          <w:i w:val="1"/>
          <w:iCs w:val="1"/>
          <w:color w:val="auto"/>
        </w:rPr>
        <w:t>Any change in the regulations governing the use of personal data in China, which are still under development, could adversely affect our business and reputation.</w:t>
      </w:r>
    </w:p>
    <w:p>
      <w:pPr>
        <w:spacing w:after="0" w:line="170"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As a cancer therapy selection service provider, we have access to our tested individuals’ personal data, including their age, gender, disease status and medical records. We use these personal data internally to expand our database and improve the clinical utility of our analytics and reporting system. Chinese regulations governing the collection and use of personal data are still under development. Although we believe that there is currently no PRC legal restriction on our internal use of such data, any change in the regulatory regime in this regard could potentially subject us to more stringent data privacy regulations and affect our ability with regard to the collection and use of these personal data, which in turn could have an adverse effect on our business, financial condition and results of operations. In the future, we plan to expand our business internationally and will be subject to relevant regulatory regimes related to data privacy in those countries, which may be subject us to heightened standards of data protection.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b w:val="1"/>
          <w:bCs w:val="1"/>
          <w:i w:val="1"/>
          <w:iCs w:val="1"/>
          <w:color w:val="auto"/>
        </w:rPr>
        <w:t>If the PRC government finds that the agreements that establish the structure for operating our businesses in China do not comply with applicable PRC laws and regulations, or if these regulations or their interpretations change, we could be subject to severe penalties or be forced to relinquish our interests in those operations.</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accordance with the Special Administrative Measures on Access of Foreign Investment (Negative List) promulgated in June 2020 and effective in July 2020, or the Negative List, foreign investors are prohibited from investing in businesses related to the research, development, and application of genomic diagnosis and treatment technology.</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an exempted company limited by shares incorporated under the laws of the Cayman Islands, and Beijing Burning Rock Biotech Limited, our wholly owned subsidiary, or WFOE, is considered a foreign-invested enterprise. To comply with PRC laws and regulations, we conduct substantially all of our business in the PRC through Burning Rock (Beijing) Biotechnology Co., Ltd., our VIE, and its subsidiaries, based on contractual arrangements entered into among WFOE, the VIE and its shareholders.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believe that our corporate structure and contractual arrangements enable us to: (i) be the exclusive provider of business support, technical and consulting services in exchange for a fee; (ii) receive substantially all of the economic benefits and bear the obligation to absorb substantially all of the losses of our VIE; (iii) have an irrevocable and exclusive right to purchase, or to designate one or more persons to purchase, from the registered shareholders all or any part of their equity interests in our VIE at any time and from time to time in our absolute discretion to the extent permitted by PRC laws; (iv) have an irrevocable and exclusive right to purchase, or to designate one or more persons to purchase, from our VIE all or any part of its assets at any time and from time to time in our absolute discretion to the extent permitted by PRC laws; (v) appoint us, any person authorized by us (except the shareholders of our VIE), as exclusive agent and attorney to act on behalf of the shareholders of our VIE on all matters concerning our VIE and to exercise all their rights as a registered shareholder of our VIE in accordance with PRC laws and the articles of our VIE; and (vi) pledge as first-ranking charge all of the equity interests in our VIE to us as collateral security for any and all of the guaranteed debt under the contractual arrangements and to secure performance of the obligations under the contractual arrangements. The contractual arrangements allow the results of operations and assets and liabilities of our VIE and its subsidiaries to be consolidated into our results of operations and assets and liabilities under U.S. GAAP as if they were subsidiaries of our Group.</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Our PRC counsel, Shihui Partners, is of the opinion that (i) the ownership structure of WFOE and our VIE does not violate applicable PRC laws and regulations currently in effect, and (ii) the contractual arrangements are valid, binding and enforceable in accordance with the applicable PRC laws or regulations currently in effect. However, there can be no assurance that the PRC government authorities will take a view that is not contrary to or otherwise different from the opinion of our PRC counsel stated above. There is also the possibility that the PRC government authorities may adopt new laws, regulations and interpretations that may invalidate the contractual arrangements. If the PRC government determines that we are in violation of PRC laws or regulations or lack the necessary permits or licenses to operate our business, the relevant PRC regulatory authorities, including the PRC National Health Commission, or the NHC, would have broad discretion in dealing with such violations or failures, including, but not limited to:</w:t>
      </w:r>
    </w:p>
    <w:p>
      <w:pPr>
        <w:spacing w:after="0" w:line="72"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revoking our business and operating licenses;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discontinuing or restricting our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imposing fines or confiscating any of our income that they deem to have been obtained through illegal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imposing conditions or requirements with which we or WFOE and our VIE may not be able to comply;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WFOE and our VIE to restructure the relevant ownership structure or operations;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from our initial public offering and the concurrent private placement or other of our financing activities to finance the business and operations of our VIE and its subsidiaries;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taking other regulatory or enforcement actions that could be harmful to our business.</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Any of these actions could cause significant disruption to our business operations, and may adversely affect our business, financial condition and results of operations. In addition, if the PRC governmental authorities find our legal structure and contractual arrangements to be in violation of PRC laws and regulations, it is unclear what impact these actions would have on us and on our ability to consolidate the financial results of our VIE and its subsidiaries in our consolidated financial statements. If any penalty results in our inability to direct the activities of our VIE and its subsidiaries and such a penalty significantly impacts their economic performance and/or our ability to receive economic benefits from our VIE and its subsidiaries, we may not be able to consolidate our VIE and its subsidiaries into our consolidated financial statements in accordance with U.S. GAAP.</w:t>
      </w:r>
    </w:p>
    <w:p>
      <w:pPr>
        <w:spacing w:after="0" w:line="16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Our contractual arrangements with our VIE and its shareholders may not be as effective in providing operational control or enabling us to derive economic benefits as a direct ownership of a controlling equity interest would be.</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relied and expect to continue to rely on contractual arrangements with our VIE, its shareholders and subsidiaries to operate our business activities. These contractual arrangements may not be as effective as direct ownership in providing us with control over our VIE and its subsidiaries. For example, our VIE, its subsidiaries or shareholders may fail to fulfill their contractual obligations with us or take other actions that are detrimental to our interests.</w:t>
      </w:r>
    </w:p>
    <w:p>
      <w:pPr>
        <w:spacing w:after="0" w:line="18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If we had direct ownership of our VIE, we would be able to exercise our rights as shareholders to effect changes in their board of directors, which in turn could implement changes, subject to any applicable fiduciary obligations, at the management and operational level. However, under the current contractual arrangements, we rely on the performance by our VIE, its subsidiaries and shareholders of their obligations under the contractual arrangements to exercise control over our VIE and its subsidiaries. The shareholders of our VIE may not act in the best interests of our company or may not perform their obligations under these contracts. These risks exist throughout the period in which we intend to operate our business through the contractual arrangements with our VIE, its subsidiaries and shareholders. If any of these shareholders is uncooperative or any dispute relating to these contracts remains unresolved, we will have to enforce our rights under these contracts through the operations of PRC laws and arbitration, litigation and other legal proceedings, the outcome of which will be subject to uncertainties in the PRC legal system. If we are unable to enforce the contractual arrangements or we experience significant delays or other obstacles in the process of enforcing the contractual arrangements, we may not be able to exert effective control over the VIE and may lose control over its assets. Therefore, our contractual arrangements with our VIE, its subsidiaries and shareholders may not be as effective in ensuring our control over the relevant portion of our business operations as direct ownership would be.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b w:val="1"/>
          <w:bCs w:val="1"/>
          <w:i w:val="1"/>
          <w:iCs w:val="1"/>
          <w:color w:val="auto"/>
        </w:rPr>
        <w:t>We may lose the ability to use and enjoy assets held by our VIE that are critical to the operation of our business if our VIE declares bankruptcy or becomes subject to a dissolution or liquidation proceeding.</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VIE holds certain assets that are critical to the operation of our business. Under the contractual arrangements entered into by WFOE, our VIE and its shareholders, our VIE may not and its shareholders may not cause it to, sell, transfer, pledge or dispose of in any other manner the legal or beneficial interest in the VIE. They also may not allow any encumbrance of security interest over such equity interest, except for the equity interest pledge agreement in the contractual arrangements, without WFOE’s prior written consent. However, if the shareholders of our VIE or its subsidiaries breach the contractual arrangements and voluntarily liquidate the VIE or its subsidiaries, or if our VIE or its subsidiaries declares bankruptcy and all or part of their assets become subject to liens or rights of third-party creditors or are otherwise disposed of without our consent, we may be unable to continue some or all of our business activities, which could adversely affect our business, financial condition and results of operations. In addition, if our VIE or its subsidiaries undergoes an involuntary liquidation proceeding, third-party creditors may claim rights to some or all of its or their assets, thereby hindering our ability to operate our business, which could adversely affect our business, financial condition and results of operations.</w:t>
      </w:r>
    </w:p>
    <w:p>
      <w:pPr>
        <w:spacing w:after="0" w:line="166"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Any failure by our VIE, its subsidiaries or shareholders to perform their obligations under our contractual arrangements with them would have an adverse effect on our business.</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Under the contractual arrangements entered into by WFOE, our VIE and its shareholders, these shareholders covenanted that they will not request our VIE to distribute profit or dividends, raise shareholders’ resolution to make such a distribution or vote in favor of any such relevant shareholders’ resolution without WFOE’s prior written consent. If these shareholders receive any income, profit distribution or dividend, except as otherwise determined by us, they must promptly transfer or pay such income, profit distribution or dividend to us or any other person designated by us as service fees to the extent permitted under applicable PRC laws. If the shareholders of our VIE breach the relevant covenants, we may need to resort to legal proceedings to enforce the terms of the contractual arrangements. Any such legal proceedings may be costly and may divert our management’s time and attention away from the operation of our business, and the outcome of such legal proceedings is uncertain.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The ultimate beneficial shareholders of our VIE may have conflicts of interest with us, which may adversely affect our business.</w:t>
      </w:r>
    </w:p>
    <w:p>
      <w:pPr>
        <w:spacing w:after="0" w:line="23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equity interests in our VIE are ultimately beneficially held by certain of our directors, indirect shareholders and employees of these indirect shareholders. However, these ultimate beneficial shareholders may have potential conflicts of interest with us. They may breach, or cause our VIE to breach, the contractual arrangements. We cannot assure you that when conflicts arise, the ultimate beneficial shareholders of our VIE will act in the best interests of our company or that conflicts will be resolved in our favor. If we cannot resolve any conflicts of interest or disputes between us and these shareholders, we would have to rely on legal proceedings, which could result in the disruption of our business and subject us to substantial uncertainty as to the outcome of any such legal proceedings.</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b w:val="1"/>
          <w:bCs w:val="1"/>
          <w:i w:val="1"/>
          <w:iCs w:val="1"/>
          <w:color w:val="auto"/>
        </w:rPr>
        <w:t>We conduct our business operations in the PRC through our VIE and its subsidiaries by way of our contractual arrangements, but certain of the terms of our contractual arrangements may not be enforceable under PRC laws.</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All the agreements that constitute our contractual arrangements with our VIE, its subsidiaries and shareholders are governed by PRC laws and provide for the resolution of disputes through arbitration in the PRC. Accordingly, these agreements would be interpreted in accordance with PRC laws, and disputes would be resolved in accordance with PRC legal procedures. The legal environment in the PRC is not as developed as in other jurisdictions and uncertainties in the PRC legal system could limit our ability to enforce the contractual arrangements. If we are unable to enforce the contractual arrangements, or if we suffer significant time delays or other obstacles in the process of enforcing them, it would be very difficult to exert effective control over our VIE and its subsidiaries, and our ability to conduct our business and our financial condition and results of operations may be adversely affected.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contractual arrangements provide that (i) in the event of a mandatory liquidation required by PRC laws, WFOE may act on behalf of the shareholders of our VIE to exercise all such rights associated with their equity interest; and (ii) in such event, where PRC laws permit, any distribution the shareholders of our VIE are entitled to receive, after deducting their initial capital contribution, will be transferred voluntarily to WFOE. Such provision may not be enforceable under PRC laws in the event of a mandatory liquidation required by PRC laws or bankruptcy liquidation.</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Therefore, in the event of a breach of any agreements constituting the contractual arrangements by the VIE, its subsidiaries and/or shareholders, we may not be able to exert effective control over our VIE due to the inability to enforce the contractual arrangements, which could adversely affect our ability to conduct our business.</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b w:val="1"/>
          <w:bCs w:val="1"/>
          <w:i w:val="1"/>
          <w:iCs w:val="1"/>
          <w:color w:val="auto"/>
        </w:rPr>
        <w:t>If we exercise the option to acquire the equity interest and assets of the VIE, this equity interest or asset transfer may subject us to certain limitations and substantial costs.</w:t>
      </w:r>
    </w:p>
    <w:p>
      <w:pPr>
        <w:spacing w:after="0" w:line="170"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Pursuant to the contractual arrangements, WFOE or its designated person has the irrevocable and exclusive right to purchase all or any portion of the equity interests in our VIE from our VIE’s shareholders at any time and from time to time in its absolute discretion to the extent permitted by PRC laws. The consideration WFOE pays for such purchases will be an amount equal to then registered capital of our VIE multiplied by the percentage of any equity interest to be purchased in proportion to the total equity interests of our VIE. But if applicable PRC law contains a compulsory requirement regarding transfer of the equity interest, the WFOE or any third party designated is entitled to pay the lowest price permitted by the PRC law as the purchase price. In addition, under the contractual arrangements, WFOE or its designated party has the irrevocable and exclusive right, where permitted by PRC law, to purchase from our VIE all or any portion of its assets, and the purchase price will be the higher of (i) the net book value of the assets to be purchased and (ii) the lowest price permitted by applicable PRC law.</w:t>
      </w:r>
    </w:p>
    <w:p>
      <w:pPr>
        <w:spacing w:after="0" w:line="17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Such transfer of equity or assets may be subject to approvals from, or filings with, competent PRC authorities, such as the Ministry of Commerce, or MOFCOM, the State Administration for Market Regulation, or the SAMR, and/or their local competent branches. In addition, the equity transfer price may be subject to review and tax adjustment by the relevant tax authorities. The assets transfer price to be received by our VIE under the contractual arrangements may also be subject to enterprise income tax, and these amounts could be substantial.</w:t>
      </w:r>
    </w:p>
    <w:p>
      <w:pPr>
        <w:spacing w:after="0" w:line="17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Substantial uncertainties exist with respect to the interpretation and implementation of the Foreign Investment Law and how it may affect the viability of our current corporate structure, corporate governance and business operations.</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March 15, 2019, the Foreign Investment Law was formally passed by the thirteenth National People’s Congress and it became effective on January 1, 2020. The Foreign Investment Law replaced the Law on Sino-Foreign Equity Joint Ventures, the Law on Sino-Foreign Cooperative Joint Ventures and the Law on Foreign-Capital Enterprises and became the legal foundation for foreign investment in the PRC. The Foreign Investment Law stipulates certain forms of foreign investment. However, the Foreign Investment Law does not explicitly stipulate contractual arrangements such as those we rely on as a form of foreign investment.</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Notwithstanding the above, the Foreign Investment Law stipulates that foreign investment includes “foreign investors investing through any other methods under laws, administrative regulations or provisions prescribed by the State Council.” Future laws, administrative regulations or provisions prescribed by the State Council may possibly regard contractual arrangements as a form of foreign investment. If this happens, it is uncertain whether our contractual arrangements with our VIE, its subsidiaries and shareholders would be recognized as foreign investment, or whether our contractual arrangements would be deemed to be in violation of the foreign investment access requirements. As well as the uncertainty on how our contractual arrangements will be handled, there is substantial uncertainty regarding the interpretation and the implementation of the Foreign Investment Law. The relevant government authorities have broad discretion in interpreting the law. Therefore, there is no guarantee that our contractual arrangements, the business of our VIE and our financial condition will not be adversely affected.</w:t>
      </w:r>
    </w:p>
    <w:p>
      <w:pPr>
        <w:spacing w:after="0" w:line="178"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Depending on future developments under the new Foreign Investment Law, we could be required to unwind the contractual arrangements and/or dispose of our VIE, which would have an adverse effect on our business, financial conditions and result of operations. If our company no longer has a sustainable business after an unwinding or disposal or when such requirements are not complied with, the SEC, and/or NASDAQ Global Market may take enforcement actions against us, which may have an adverse effect on the trading of our Shares or even result in delisting our company.</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b w:val="1"/>
          <w:bCs w:val="1"/>
          <w:i w:val="1"/>
          <w:iCs w:val="1"/>
          <w:color w:val="auto"/>
        </w:rPr>
        <w:t>There may be a potential adverse impact to our company if our contractual arrangements with our VIE, its subsidiaries and shareholders are not treated as domestic investment.</w:t>
      </w:r>
    </w:p>
    <w:p>
      <w:pPr>
        <w:spacing w:after="0" w:line="170"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If the operation of our businesses conducted through our VIE is subject to any restrictions pursuant to the Negative List or any successor regulations, and the contractual arrangements are not treated as domestic investment, the contractual arrangements may be regarded as invalid and illegal. If this were to occur, we would not be able to operate the relevant businesses through the contractual arrangements and would lose our rights to receive the economic benefits of the VIE. As a result, we would no longer consolidate the financial results of the VIE into our financial results and we would have to derecognize their assets and liabilities according to the relevant accounting standards. If we do not receive any compensation, we would recognize an investment loss as a result of such derecognition.</w:t>
      </w:r>
    </w:p>
    <w:p>
      <w:pPr>
        <w:spacing w:after="0" w:line="17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b w:val="1"/>
          <w:bCs w:val="1"/>
          <w:i w:val="1"/>
          <w:iCs w:val="1"/>
          <w:color w:val="auto"/>
        </w:rPr>
        <w:t>Our contractual arrangements may be subject to scrutiny by the PRC tax authorities, and a finding that we owe additional taxes could adversely affect our results of operations and reduce the value of your investment.</w:t>
      </w:r>
    </w:p>
    <w:p>
      <w:pPr>
        <w:spacing w:after="0" w:line="170"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Under PRC laws and regulations, arrangements and transactions among related parties may be subject to audit or challenge by the PRC tax authorities within ten years after the taxable year during which arrangements and transactions were concluded. The Enterprise Income Tax Law, or the EIT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arm’s-length principles. We may face adverse tax consequences if the PRC tax authorities determine that the contractual arrangements among our PRC subsidiaries and our VIE do not represent an arm’s-length price and adjust our VIE’s income in the form of a transfer pricing adjustment. A transfer pricing adjustment could, among other things, result in a reduction, for PRC tax purposes, of expense deductions recorded by our VIE, which could in turn increase their tax liabilities. In addition, the PRC tax authorities may impose late payment fees and other penalties to our PRC controlled structured entities for under-paid taxes. Our results of operations may be adversely affected if our tax liabilities increase or if we are found to be subject to late payment fees or other penalties.</w:t>
      </w:r>
    </w:p>
    <w:p>
      <w:pPr>
        <w:spacing w:after="0" w:line="185" w:lineRule="exact"/>
        <w:rPr>
          <w:sz w:val="20"/>
          <w:szCs w:val="20"/>
          <w:color w:val="auto"/>
        </w:rPr>
      </w:pPr>
    </w:p>
    <w:p>
      <w:pPr>
        <w:ind w:left="120" w:right="660"/>
        <w:spacing w:after="0" w:line="342" w:lineRule="auto"/>
        <w:rPr>
          <w:sz w:val="20"/>
          <w:szCs w:val="20"/>
          <w:color w:val="auto"/>
        </w:rPr>
      </w:pPr>
      <w:r>
        <w:rPr>
          <w:rFonts w:ascii="Arial" w:cs="Arial" w:eastAsia="Arial" w:hAnsi="Arial"/>
          <w:sz w:val="16"/>
          <w:szCs w:val="16"/>
          <w:b w:val="1"/>
          <w:bCs w:val="1"/>
          <w:i w:val="1"/>
          <w:iCs w:val="1"/>
          <w:color w:val="auto"/>
        </w:rPr>
        <w:t>If the custodians or authorized users of our controlling non-tangible assets, including chops and seals, fail to fulfill their responsibilities, or misappropriate or misuse these assets, our business and operations may be materially and adversely affected.</w:t>
      </w:r>
    </w:p>
    <w:p>
      <w:pPr>
        <w:spacing w:after="0" w:line="12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Under the PRC law, legal documents for corporate transactions, including agreements and contracts such as the leases and sales contracts that our business relies on, are executed using the chop or seal of the signing entity or with the signature of a legal representative, whose designation is registered and filed with the relevant local branch of the market supervision administration. In order to maintain the physical security of our chops and the chops of our PRC entities, we generally store these items in secured locations accessible only by the authorized personnel of each of our PRC subsidiary and our VIE. Although we monitor such authorized personnel, we cannot assure you that such procedures will prevent all instances of abuse or negligence. Accordingly, if any of our authorized personnel misuses or misappropriates our corporate chops or seals, or our corporate chops or seals are not kept safely, stolen or otherwise used by unauthorized persons or for unauthorized purposes, we could encounter difficulties in maintaining control over the relevant entities and experience significant disruption to our operations. If a designated legal representative obtains control of the chops in an effort to obtain control over any of our PRC subsidiary or our VIE, we, our PRC subsidiaries or our VIE would need to pass a new shareholder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Doing Business in the PRC</w:t>
      </w:r>
    </w:p>
    <w:p>
      <w:pPr>
        <w:spacing w:after="0" w:line="121" w:lineRule="exact"/>
        <w:rPr>
          <w:sz w:val="20"/>
          <w:szCs w:val="20"/>
          <w:color w:val="auto"/>
        </w:rPr>
      </w:pPr>
    </w:p>
    <w:p>
      <w:pPr>
        <w:jc w:val="both"/>
        <w:ind w:left="120" w:right="100" w:firstLine="440"/>
        <w:spacing w:after="0" w:line="381" w:lineRule="auto"/>
        <w:rPr>
          <w:sz w:val="20"/>
          <w:szCs w:val="20"/>
          <w:color w:val="auto"/>
        </w:rPr>
      </w:pPr>
      <w:r>
        <w:rPr>
          <w:rFonts w:ascii="Arial" w:cs="Arial" w:eastAsia="Arial" w:hAnsi="Arial"/>
          <w:sz w:val="15"/>
          <w:szCs w:val="15"/>
          <w:b w:val="1"/>
          <w:bCs w:val="1"/>
          <w:i w:val="1"/>
          <w:iCs w:val="1"/>
          <w:color w:val="auto"/>
        </w:rPr>
        <w:t>We are subject to many of the economic and political risks associated with emerging markets due to our operation in China. Adverse changes in the Chinese or global economic, political and social conditions as well as government policies could adversely affect our business and prospects.</w:t>
      </w:r>
    </w:p>
    <w:p>
      <w:pPr>
        <w:spacing w:after="0" w:line="10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majority of our operations are in China, one of the world’s largest emerging markets. In light of our operations in an emerging market, we may be subject to risks and uncertainties including fluctuation in GDP, unfavorable or unpredictable treatment in relation to tax matters, exchange controls, restrictions affecting our ability to make cross-border transfer of funds, regulatory proceedings, inflation, currency fluctuations or the absence of, or unexpected changes in, regulations and unforeseeable operational risks. In addition, our business, prospects, financial condition and results of operations may be significantly influenced by political, economic and social conditions in China generally and by continued economic growth in China.</w:t>
      </w:r>
    </w:p>
    <w:p>
      <w:pPr>
        <w:spacing w:after="0" w:line="16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that focus on taking into account market forces to effect economic reform and aimed at reducing the state ownership of productive assets and establishing improved corporate governance in business enterprises, a substantial portion of China’s productive assets are still owned by the government. In addition, the PRC government continues to play a significant role in regulating development through industrial policies. The PRC government also exercises significant control over China’s economic growth through its allocation of resources, control of payment of foreign currency-denominated obligations, monetary policy, and preferential treatment for particular industries or companies.</w:t>
      </w:r>
    </w:p>
    <w:p>
      <w:pPr>
        <w:spacing w:after="0" w:line="17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which may benefit the overall Chinese economy, may have a negative effect on us. For example, our financial condition and results of operations may be adversely affected by government control over capital investments or changes in tax regulations. In addition, the PRC government has from time to time implemented certain measures, including interest rate changes, to control the pace of economic growth. These measures may cause decreased economic activity in China, and, since 2012, the Chinese economy has slowed down. Any prolonged slowdown in the Chinese economy may reduce the demand for our services and adversely affect our business and results of operations.</w:t>
      </w:r>
    </w:p>
    <w:p>
      <w:pPr>
        <w:spacing w:after="0" w:line="166"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b w:val="1"/>
          <w:bCs w:val="1"/>
          <w:i w:val="1"/>
          <w:iCs w:val="1"/>
          <w:color w:val="auto"/>
        </w:rPr>
        <w:t>Geopolitical tensions have led to a worsening relationship between China and the United States and this adverse trend may continue to deteriorate, which could negatively affect our business and results of operations.</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Recently there have been heightened tensions in the trade and economic relations between the U.S. and China. The U.S. government has imposed a series of, and proposed to impose additional, new or higher tariffs on products imported from China to penalize China for what it characterizes as unfair trade practices. China has responded by imposing largely commensurate tariffs on products imported from the U.S. Amid these tensions, the U.S. government has imposed and may impose additional measures on entities in China, including sanctions. Although the U.S. and China signed the “Phase One” trade agreement in January 2020, we cannot assure you that a more comprehensive trade deal will be agreed or that tariffs will not be imposed even if such an agreement is reached. If any new tariffs, legislation and/or regulations are implemented, or if existing trade agreements are renegotiated or, in particular, if the U.S. government takes retaliatory trade actions due to the recent U.S.-China trade tension, and China further retaliates in response to new trade policies, treaties and tariffs implemented by the United States, or even if there is news and rumors of any such escalation, it could introduce uncertainties to China’s economy and the global economy, which in turn could affect our business. We currently source some of our reagents and laboratory equipment from vendors based in the U.S. The U.S. government may prohibit these companies from doing business with Chinese companies and the Chinese government may implement countermeasures. If this were to happen, we may be required to seek substitute suppliers, which could adversely affect our operations. Moreover, the potential increase in tariffs may also increase the costs we incur to purchase imported reagents and laboratory equipment. In addition, as a biotechnology company with operations primarily based in China, our international expansion plan to commercialize our products and services in, and export our products and services to, the U.S. could be adversely affected by these or future trade developments. Our current or future operations in the U.S. may be adversely affected by relationship between the two countries. In addition, increased protectionism and the risk of global trade war, which result in weaker global trade and lower levels of economic activity, could reduce the demand for our tests and adversely affect our business.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addition to trade disputes, political tensions between the United States and China have escalated in recent years due to, among other things, the COVID-19 outbreak, data security and privacy, emerging technologies, “dual-use” commercial technologies, applications that could be deployed for surveillance or military purposes, import/export of technology, sanctions imposed by the U.S. Department of Treasury on certain officials of the Hong Kong Special Administrative Region and the central government of the PRC and the executive orders issued by former U.S. President Donald J. Trump in August 2020 that prohibit certain transactions with certain Chinese companies and their applications. In July 2020, the U.S. also imposed sanctions on additional Chinese entities for their alleged involvement in human rights violations in Xinjiang Uyghur Autonomous Region. In September 2020, China’s Ministry of Commerce released Provisions on the Unreliable Entity List in response to United States sanctions. In November 2020, former U.S. President Trump issued another executive order that prohibits U.S. persons from transacting publicly traded securities of certain “Communist Chinese military companies.” Relations between the two countries may also deteriorate due to the imposition of U.S. sanctions on four Chinese officials from China’s central government and the Hong Kong Special Administrative Region in November 2020, as well as the imposition of Chinese sanctions on four individuals from the U.S. in the same month. In January, following a previous executive order issued by former U.S. President Trump, the New York Stock Exchange further delisted three Chinese companies, after the U.S. Treasury designated them as Chinese “military companies.” Rising political tensions could reduce levels of trades, investments, technological exchanges and other economic activities between the two major economies, which would have a material adverse effect on global economic conditions and the stability of global financial markets. The policies and measures directed at China and Chinese companies could also discourage U.S. persons and organizations to work for, provide services to or cooperate with Chinese companies, which could hinder our ability to hire or retain qualified personnel and find suitable partners for our business. Furthermore, the adoption by the U.S. government of these policies and measures against Chinese companies could negatively affect certain investors’ sentiment towards our ADSs and their willingness to invest in or hold our ADSs, which may in turn have a negative impact on the trading price of our ADSs. We cannot assure you that the current export controls or economic, trade or other sanctions regulations will not have a negative impact on our business operations, or that the related trend will not further deteriorate in the future. If any such deliberations or policies were to materialize, the resulting legislation may have material and adverse impact on the stock performance of China-based issuers listed in the United States. Furthermore, policies of the United States tend to be followed by certain other countries, and these countries may adopt similar policies regarding their relationships with China or against Chinese companies and restricting their operations.</w:t>
      </w:r>
    </w:p>
    <w:p>
      <w:pPr>
        <w:spacing w:after="0" w:line="39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Uncertainties in the interpretation and enforcement of PRC laws and regulations could limit the legal protections available to you and us.</w:t>
      </w:r>
    </w:p>
    <w:p>
      <w:pPr>
        <w:spacing w:after="0" w:line="248"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The PRC legal system is a civil law system based on written statutes. Unlike common law systems, it is a system in which prior court decisions have limited value as precedents. Our PRC subsidiaries are subject to various PRC laws and regulations generally applicable to companies in China. However, since these laws and regulations are relatively new and the PRC legal system continues to rapidly evolve, their interpretation is not always consistent and their enforcement involves uncertainties.</w:t>
      </w:r>
    </w:p>
    <w:p>
      <w:pPr>
        <w:spacing w:after="0" w:line="18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In particular, PRC laws and regulations concerning the cancer genotyping industry are developing and evolving. Although we have taken measures to comply with the laws and regulations applicable to our business operations and to avoid conducting any non-compliant activities under these laws and regulations, the PRC governmental authorities may promulgate new laws and regulations regulating cancer genotyping industries, some of which may have a retroactive effect. We cannot assure you that our business operations would not be deemed to violate any such new PRC laws or regulations. Moreover, developments in the cancer genotyping industry may lead to changes in PRC laws, regulations and policies or in the interpretation and application of existing laws, regulations and policies, which in turn may limit or restrict us, and could adversely affect our business and operations.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From time to time, we may have to rely on administrative and court proceedings to enforce our legal rights. However, since the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a retroactive effect. As a result, we may not be aware of our violation of these policies and rules until sometime after the violation. These types of uncertainties, including uncertainty over the scope and effect of our contractual, property (including intellectual property) and procedural rights, and any failure to respond to changes in the regulatory environment in China, could adversely affect our business and impede our ability to continue our operations, and may further affect the legal remedies and protections available to investors, which may, in turn, adversely affect the value of your investment.</w:t>
      </w:r>
    </w:p>
    <w:p>
      <w:pPr>
        <w:spacing w:after="0" w:line="196"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b w:val="1"/>
          <w:bCs w:val="1"/>
          <w:i w:val="1"/>
          <w:iCs w:val="1"/>
          <w:color w:val="auto"/>
        </w:rPr>
        <w:t>We may be classified as a “PRC resident enterprise” for PRC enterprise income tax purposes, which could result in unfavorable tax consequences to us and our non-PRC shareholders or ADS holders.</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a “de facto management body” within the PRC is considered a resident enterprise and will be subject to enterprise income tax on its global income at the rate of 25%. The related implementation rules define the term “de facto management body” as the body that exercises full and substantial control over, and overall management of, the business, productions, personnel, accounts and properties of an enterprise. In April 2009, the State Administration of Taxation, or the SAT, issued a circular,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the criteria set forth in Circular 82 may reflect the SAT’s general position on how the “de facto management body” test should be applied in determining the tax resident status of all offshore enterprises. According to Circular 82, an offshore-incorporated enterprise controlled by a PRC enterprise or a PRC enterprise group will be regarded as a PRC tax resident by virtue of having its “de facto management body” in China. It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71"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As substantially all of our management members are based in China, it remains unclear how the tax residency rule would apply in our case. If the PRC tax authorities determine that we or any of our subsidiaries outside of China is a PRC resident enterprise for PRC enterprise income tax purposes, then we or such subsidiary could be subject to PRC tax at a rate of 25% on its worldwide income, which could reduce our net income. In addition, we would also be subject to PRC enterprise income tax reporting obligations. Furthermore, if the PRC tax authorities determine that we are a PRC resident enterprise for enterprise income tax purposes, dividends paid by us and gains realized on the sale or other disposition of our ordinary shares or ADSs may be subject to PRC tax, at a rate of 10% in the case of non-PRC enterprises or 20% in the case of non-PRC individuals (in each case, subject to the provisions of any applicable tax treaty), if such dividends and gains are deemed to be from PRC sources. It is unclear</w:t>
      </w:r>
    </w:p>
    <w:p>
      <w:pPr>
        <w:spacing w:after="0" w:line="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whether non-PRC shareholders of our company, including the holders of our ADSs, would be able to claim the benefits of any tax treaties between their country of tax residence and the PRC in the event that we are treated as a PRC resident enterprise. Any such tax may reduce the returns on your investment in our ADSs.</w:t>
      </w:r>
    </w:p>
    <w:p>
      <w:pPr>
        <w:spacing w:after="0" w:line="190"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b w:val="1"/>
          <w:bCs w:val="1"/>
          <w:i w:val="1"/>
          <w:iCs w:val="1"/>
          <w:color w:val="auto"/>
        </w:rPr>
        <w:t>We may rely on dividends and other distributions from our subsidiaries in China to fund our cash and financing requirements, and any limitation on the ability of our subsidiaries to make payments to us could adversely affect our ability to conduct our business.</w:t>
      </w:r>
    </w:p>
    <w:p>
      <w:pPr>
        <w:spacing w:after="0" w:line="124"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As a holding company, we conduct most of our business through our subsidiaries incorporated in China. We may rely on dividends paid by these PRC subsidiaries for our cash needs, including the funds necessary to pay any dividends and other cash distributions to our shareholders, to service any debt we may incur and to pay our operating expenses. The payment of dividends by entities established in China is subject to limitations.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Regulations in China currently permit payment of dividends only out of accumulated profits as determined in accordance with accounting standards and regulations in China.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adversely limit our ability to grow, make investments or acquisitions that could be beneficial to our business, pay dividends and otherwise fund and conduct our business.</w:t>
      </w:r>
    </w:p>
    <w:p>
      <w:pPr>
        <w:spacing w:after="0" w:line="192"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Our PRC subsidiaries generate primarily all of their revenue in Renminbi, which is not freely convertible into other currencies. As a result, any restriction on currency exchange may limit the ability of our PRC subsidiaries to use their Renminbi revenues to pay dividends to us.</w:t>
      </w:r>
    </w:p>
    <w:p>
      <w:pPr>
        <w:spacing w:after="0" w:line="14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Historically, in response to the persistent capital outflow and the Renminbi’s depreciation against the U.S. dollar in 2016, the People’s Bank of China, or the PBOC, and the State Administration of Foreign Exchange, or SAFE, have implemented a series of capital control measures, including stricter vetting procedures for China-based companies to remit foreign currency for overseas acquisitions, dividend payments and shareholder loan repayments. The PRC government may continue to strengthen its capital controls and our PRC subsidiary’s dividends and other distributions may be subjected to tighter scrutiny. Any limitation on the ability of our PRC subsidiary to pay dividends or make other distributions to us could adversely limit our ability to grow, make investments or acquisitions that could be beneficial to our business, pay dividends, or otherwise fund and conduct our business.</w:t>
      </w:r>
    </w:p>
    <w:p>
      <w:pPr>
        <w:spacing w:after="0" w:line="195"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In addition, the EIT Law and its implementation rules provide that a withholding tax rate of up to 10% will be applicable to dividends payable by Chinese companies to non-PRC resident enterprises unless otherwise exempted or reduced according to treaties or arrangements between the PRC central government and governments of other countries or regions where the non-PRC resident enterprises are incorporated.</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Fluctuations in exchange rates could have an adverse effect on our results of operations and the value of your investment.</w:t>
      </w:r>
    </w:p>
    <w:p>
      <w:pPr>
        <w:spacing w:after="0" w:line="22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conversion of RMB into foreign currencies, including U.S. dollars, is based on rates set by the People’s Bank of China. The RMB has fluctuated against the U.S. dollar, at times significantly and unpredictably. The value of RMB against the U.S. dollar and other currencies is affected by changes in China’s political and economic conditions and by China’s foreign exchange policies, among other things. We cannot assure you that RMB will not appreciate or depreciate significantly in value against the U.S. dollar in the future. It is difficult to predict how market forces or PRC or U.S. government policy may impact the exchange rate between RMB and the U.S. dollar in the future.</w:t>
      </w:r>
    </w:p>
    <w:p>
      <w:pPr>
        <w:spacing w:after="0" w:line="176"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Substantially all of our revenue and costs are denominated in Renminbi. We are a holding company and we rely on dividends paid by our operating subsidiaries in China for our cash needs. Any significant appreciation or depreciation of RMB may materially and adversely affect our revenues, earnings and financial position, and the value of, and any dividends payable on, our ADSs in U.S. dollars. For example, to the extent that we need to convert U.S. dollars we receive into RMB to pay our operating expenses, appreciation of RMB against the U.S. dollar would have an adverse effect on the RMB amount we would receive from the conversion. Conversely, a significant depreciation of RMB against the U.S. dollar may significantly reduce the U.S. dollar equivalent of our earnings, which in turn could adversely affect the price of our ADSs.</w:t>
      </w:r>
    </w:p>
    <w:p>
      <w:pPr>
        <w:spacing w:after="0" w:line="178"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As a result, fluctuations in exchange rates may have a material adverse effect on your investment.</w:t>
      </w:r>
    </w:p>
    <w:p>
      <w:pPr>
        <w:spacing w:after="0" w:line="17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The PRC government’s control of foreign currency conversion may limit our foreign exchange transactions, including dividend payments on our ordinary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company in the Cayman Islands relies on dividend payments indirectly from our PRC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 However, approval from or registration with appropriate governmental authorities or commercial banks authorized by such authorities is required where Renminbi is to be converted into foreign currency and remitted out of China to pay capital expenses, such as the repayment of loans denominated in foreign currencies.</w:t>
      </w:r>
    </w:p>
    <w:p>
      <w:pPr>
        <w:spacing w:after="0" w:line="16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light of strong capital outflows from China in 2016, the PRC government has imposed more restrictive foreign exchange policies and stepped up its scrutiny of major outbound capital movements. More restrictions and substantial vetting processes have been put in place by SAFE to regulate cross-border capital account transactions. The PRC government may at its discretion further restrict access to foreign currencies in the future for current account transactions. If the foreign exchange control system prevents us from obtaining sufficient foreign currencies to satisfy our foreign currency demands, we may not be able to pay dividends in foreign currencies to our shareholders.</w:t>
      </w:r>
    </w:p>
    <w:p>
      <w:pPr>
        <w:spacing w:after="0" w:line="1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Furthermore, as the interpretation and implementation of these foreign exchange regulations has been constantly evolving, it is unclear how these regulations, and any future regulations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Inflation in the PRC could negatively affect our profitability and growth.</w:t>
      </w:r>
    </w:p>
    <w:p>
      <w:pPr>
        <w:spacing w:after="0" w:line="225"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 economy of China has experienced significant growth, which has from time to time lead to significant inflation. China’s overall economy is expected to continue to grow. Future increases in China’s inflation may adversely affect our profitability and results of operations.</w:t>
      </w:r>
    </w:p>
    <w:p>
      <w:pPr>
        <w:spacing w:after="0" w:line="146" w:lineRule="exact"/>
        <w:rPr>
          <w:sz w:val="20"/>
          <w:szCs w:val="20"/>
          <w:color w:val="auto"/>
        </w:rPr>
      </w:pPr>
    </w:p>
    <w:p>
      <w:pPr>
        <w:ind w:left="120" w:right="120" w:firstLine="440"/>
        <w:spacing w:after="0" w:line="381" w:lineRule="auto"/>
        <w:rPr>
          <w:sz w:val="20"/>
          <w:szCs w:val="20"/>
          <w:color w:val="auto"/>
        </w:rPr>
      </w:pPr>
      <w:r>
        <w:rPr>
          <w:rFonts w:ascii="Arial" w:cs="Arial" w:eastAsia="Arial" w:hAnsi="Arial"/>
          <w:sz w:val="15"/>
          <w:szCs w:val="15"/>
          <w:b w:val="1"/>
          <w:bCs w:val="1"/>
          <w:i w:val="1"/>
          <w:iCs w:val="1"/>
          <w:color w:val="auto"/>
        </w:rPr>
        <w:t>PRC regulation of loans to and direct investments in PRC entities by offshore holding companies may delay or prevent us from making loans or additional capital contributions to our subsidiaries, which could adversely affect our liquidity and our ability to fund and expand our business.</w:t>
      </w:r>
    </w:p>
    <w:p>
      <w:pPr>
        <w:spacing w:after="0" w:line="10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an offshore holding company conducting our operations in China through our PRC subsidiaries. We may make loans to our PRC subsidiaries or we may make additional capital contributions to our wholly foreign-owned subsidiaries in China. Any loans by us to our wholly foreign-owned subsidiaries in China to finance their activities cannot exceed statutory limits and must be registered with the local counterpart of the PRC State Administration of Foreign Exchange, or the SAFE. In addition, a foreign invested enterprise shall use its capital pursuant to the principle of authenticity and self-use within its business scope.</w:t>
      </w:r>
    </w:p>
    <w:p>
      <w:pPr>
        <w:spacing w:after="0" w:line="188"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In March 2015, the SAFE promulgated the Circular on Reforming the Administration Measures on Conversion of Foreign Exchange Registered Capital of Foreign-invested Enterprises, or SAFE Circular 19, which took effect and replaced certain previous SAFE regulations from June 1, 2015. The SAFE further promulgated the Circular of the SAFE on Reforming and Regulating Policies on the Control over Foreign Exchange Settlement of Capital Accounts, or SAFE Circular 16, which took effective on June 9, 2016 and, among other things, amended certain provisions of SAFE Circular 19. According to SAFE Circular 19 and SAFE Circular 16, the flow and use of the Renminbi capital converted from foreign currency-denominated registered capital of a foreign-invested company is regulated such that Renminbi capital may not be used for business beyond its business scope, or to provide loans to persons other than affiliates, unless otherwise permitted under its business scope. SAFE Circular 19 and SAFE Circular 16 may limit our ability to transfer the net proceeds from our initial public offering and the concurrent private placement to our PRC subsidiaries and convert the net proceeds into RMB.</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PRC subsidiaries or future capital contributions by us to our wholly foreign-owned subsidiaries in China. As a result, uncertainties exist as to our ability to provide prompt financial support to our PRC subsidiaries when needed. If we fail to complete such registrations or obtain such approvals, our ability to use the proceeds we received from our initial public offering and the concurrent private placement and to capitalize or otherwise fund our PRC operations may be negatively affected, which could adversely affect our liquidity and our ability to fund and expand our business.</w:t>
      </w:r>
    </w:p>
    <w:p>
      <w:pPr>
        <w:spacing w:after="0" w:line="19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70"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The M&amp;A Rules and some other regulations and rules concerning mergers and acquisitions, have established complex procedures and requirements that restrict merger and acquisition activities by foreign investors. For example, when a foreign investor takes control of a PRC enterprise, it must notify MOFCOM in advance of such change-of-control transaction. Moreover, the Anti-Monopoly Law requires that the anti-trust governmental authority be notified in advance of any concentration of undertaking if certain thresholds are triggered. The security review rules issued by MOFCOM, which became effective in September 2011, specify that certain mergers and acquisitions by foreign investors, for example those that raise “national defense and security” concerns or through which foreign investors may acquire de facto control over domestic enterprises and therefore raise “national security” concerns, are subject to its review. Those rules prohibit any activities attempting to bypass security review, for example by structuring a transaction through a proxy or contractual control arrangements. We may grow our business by acquiring other companies operating in our industry. Complying with the requirements of the regulations described above and other relevant rules to complete these transactions could be time-consuming, and any required approval processes, including obtaining approval from MOFCOM or its local counterparts, may delay or inhibit our ability to complete these transactions, which could affect our ability to expand our business or maintain our market share. Furthermore, according to the M&amp;A Rules, if a PRC entity or individual plans to merger or acquire its related PRC entity through an overseas company legitimately incorporated or controlled by such entity or individual, such a merger and acquisition will be subject to examination and approval by MOFCOM. The application and interpretations of M&amp;A Rules are still uncertain, and there is possibility that the relevant PRC regulators may promulgate new rules or explanations requiring that we obtain approval of MOFCOM for our completed or ongoing mergers and acquisitions. There is no assurance that we can obtain MOFCOM approval for our mergers and acquisitions, and if we fail to obtain those approvals, we may be required to suspend our acquisition and be subject to penalties. Any uncertainties regarding such governmental approval requirements could have an adverse effect on our business, results of operations and corporate structure.</w:t>
      </w:r>
    </w:p>
    <w:p>
      <w:pPr>
        <w:spacing w:after="0" w:line="19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The heightened scrutiny over acquisition transactions by the PRC tax authorities may have a negative impact on our business operations, our acquisition or restructuring strategy or the value of your investment in us.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Pursuant to the Notice on Strengthening Administration of Enterprise Income Tax for Share Transfers by Non-PRC Resident Enterprises, or Circular 698, issued by the SAT, which became effective retroactively as of January 1, 2008, if a non-resident enterprise investor transfers equity interest in a PRC resident enterprise indirectly by way of disposing of equity interest in an overseas holding company, the non-resident enterprise investor, being the transferor, may be subject to PRC enterprise income tax, if the indirect transfer is considered to be an abusive use of company structure without reasonable commercial purposes. As a result, gains derived from such indirect transfers may be subject to PRC withholding tax at a rate of up to 10%. In addition, the relevant PRC resident enterprise may be required to provide necessary assistance to support the enforcement of Circular 698.</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February 3, 2015, the SAT issued a Public Notice Regarding Certain Corporate Income Tax Matters on Indirect Transfer of Properties by Non-Tax Resident Enterprises, or Public Notice 7. Public Notice 7 introduces a new tax regime that is significantly different from Circular 698. Public Notice 7 extends tax jurisdiction to not only indirect transfers set forth under Circular 698 but also to transactions involving the transfer of other taxable assets made through the offshore transfer of a foreign intermediate holding company. In addition, Public Notice 7 provides clearer criteria than Circular 698 on how to assess reasonable commercial purposes and has introduced safe harbors for internal group restructurings and the purchase and sale of equity through a public securities market. Public Notice 7 has new requirements for both foreign transferors and the transferees (or other person who is obligated to pay for the transfer) of the taxable assets. If a non-resident enterprise conducts an “indirect transfer” by transferring the taxable assets indirectly by disposing of the equity interest of an overseas holding company, then the non-resident enterprise, as the transferor, or the transferee or the PRC entity, which directly owned the taxable assets, must report to the relevant tax authority such indirect transfer. As a result, gains derived from such indirect transfer may be subject to PRC enterprise income tax, and the transferee or other person who is obligated to pay for the transfer is obligated to withhold the applicable taxes, currently at a rate of up to 10% for the transfer of equity interest in a PRC resident enterprise. Both the transferor and the transferee may be subject to penalties under PRC tax laws if the transferee fails to withhold the taxes and the transferor fails to pay the taxes.</w:t>
      </w:r>
    </w:p>
    <w:p>
      <w:pPr>
        <w:spacing w:after="0" w:line="18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On October 17, 2017, the SAT issued a Public Notice on Issues Concerning the Withholding of Non-resident Enterprise Income Tax at Source, or Public Notice 37, which, among others, repealed the Circular 698 on December 1, 2017. Public Notice 37 further details and clarifies the tax withholding methods in respect of income of non-resident enterprises under Circular 698. And certain rules stipulated in Public Notice 7 are replaced by Public Notice 37. Where the non-resident enterprise fails to declare the tax payable pursuant to Article 39 of the Enterprise Income Tax Law, the tax authority may order it to pay the tax due within required time limits, and the non-resident enterprise is required to declare and pay the tax payable within such time limits specified by the tax authority; however, if the non-resident enterprise voluntarily declares and pays the tax payable before the tax authority orders it to do so within required time limits, it will be deemed that such enterprise has paid the tax in time.</w:t>
      </w:r>
    </w:p>
    <w:p>
      <w:pPr>
        <w:spacing w:after="0" w:line="17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face uncertainties as to the reporting and other implications of certain past and future transactions where PRC taxable assets are involved, such as offshore restructuring, sale of the shares in our offshore subsidiaries and investments. We may be subject to filing obligations or taxed if we are the transferor in such transactions, and we may be subject to withholding obligations if we are the transferee in such transactions, under Public Notice 7 and Public Notice 37. For transfer of shares in our company by investors who are non-PRC resident enterprises, our PRC subsidiary may be requested to assist in the filing under Public Notice 7 and Public Notice 37. As a result, we may be required to expend valuable resources to comply with Public Notice 7 and Public Notice 37 or to request the relevant transferors from whom we purchase taxable assets to comply with these notices, or to establish that our company should not be taxed under these notices, which may have an adverse effect on our financial condition and results of operations.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You may be subject to PRC income tax on dividends from us or on any gain realized on the transfer of our ADSs.</w:t>
      </w:r>
    </w:p>
    <w:p>
      <w:pPr>
        <w:spacing w:after="0" w:line="225"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Under the EIT Law and its implementation rules, PRC withholding tax at the rate of 10% is generally applicable to dividends from PRC sources paid to investors that are resident enterprises outside of China and that do not have an establishment or place of business in China, or that have an establishment or place of business in China but the relevant income is not effectively connected with the establishment or place of business. Any gain realized on the transfer of shares by such investors is subject to 10% PRC income tax if this gain is regarded as income derived from sources within China. Under the PRC Individual Income Tax Law and its implementation rules, dividends from sources within China paid to foreign individual investors who are not PRC residents are generally subject to a PRC withholding tax at a rate of 20% and gains from PRC sources realized by these investors on the transfer of shares are generally subject to 20% PRC income tax. Any such PRC tax liability may be reduced by the provisions of an applicable tax treaty.</w:t>
      </w:r>
    </w:p>
    <w:p>
      <w:pPr>
        <w:spacing w:after="0" w:line="19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Although substantially all of our business operations are in China, it is unclear whether the dividends we pay with respect to our shares or ADSs, or the gains realized from the transfer of our shares or ADSs, would be treated as income derived from sources within China and as a result be subject to PRC income tax if we are considered a PRC resident enterprise. If PRC income tax is imposed on gains realized through the transfer of our ADSs or on dividends paid to our non-resident investors, the value of your investment in our ADSs may be adversely affected. Furthermore, our shareholders whose jurisdictions of residence have tax treaties or arrangements with China may not qualify for benefits under these tax treaties or arrangements.</w:t>
      </w:r>
    </w:p>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In addition, pursuant to the Double Tax Avoidance Arrangement between Hong Kong and China, or the Double Tax Avoidance Treaty, and the Notice on Certain Issues with Respect to the Enforcement of Dividend Provisions in Tax Treaties, or the Notice on Tax Treaties, issued on February 20, 2009 by the SAT, if a Hong Kong resident enterprise owns more than 25% of the equity interest of a PRC company at all times during the twelve-month period immediately prior to obtaining a dividend from such company, the 10% withholding tax on such dividend is reduced to 5%, provided that certain other conditions and requirements under the Double Tax Avoidance Treaty and other applicable PRC laws are satisfied at the discretion of the relevant PRC tax authority. However, based on the Notice on Tax Treaties, if the relevant PRC tax authorities determine, in their discretion, that a company benefits from such reduced income tax rate due to a structure or arrangement that is primarily tax-driven, the PRC tax authorities may adjust the preferential tax treatment. Based on the Notice on Issues concerning Beneficial Owner in Tax Treaties, or Circular 9, issued on February 3, 2018 by the SAT and effective on April 1, 2018, when determining the applicant’s status as a “beneficial owner” for purpose of tax treatments in connection with dividends, interests or royalties in the tax treaties, several factors will be taken into account, and it will be analyzed according to the actual circumstances of the specific cases. If our Hong Kong subsidiary is determined by PRC government authorities as receiving benefits from reduced income tax rates due to a structure or arrangement that is primarily tax-driven, the dividends paid by our PRC subsidiaries to our Hong Kong subsidiary will be taxed at a higher rate, which will have an adverse effect on our financial and operational conditions.</w:t>
      </w:r>
    </w:p>
    <w:p>
      <w:pPr>
        <w:spacing w:after="0" w:line="17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b w:val="1"/>
          <w:bCs w:val="1"/>
          <w:i w:val="1"/>
          <w:iCs w:val="1"/>
          <w:color w:val="auto"/>
        </w:rPr>
        <w:t>We may be subject to penalties, including restrictions on our ability to inject capital into our PRC subsidiaries and on our PRC subsidiaries’ ability to distribute profits to us, if our PRC resident shareholders or beneficial owners fail to comply with relevant PRC foreign exchange regulations.</w:t>
      </w:r>
    </w:p>
    <w:p>
      <w:pPr>
        <w:spacing w:after="0" w:line="184"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SAFE has promulgated several regulations that require PRC residents and PRC corporate entities to register with and obtain approval from local branches of SAFE in connection with their direct or indirect offshore investment activities. The Circular on Relevant Issues Relating to Domestic Resident’s Investment and Financing and Roundtrip Investment through Special Purpose Vehicles, or SAFE Circular 37, was promulgated by SAFE in July 2014. SAFE Circular 37 requires PRC residents or entities to register with SAFE or its local branch in connection with their establishment, or control of an offshore entity established, for the purpose of overseas investment or financing. According to the Circular of Further Simplifying and Improving the Policies of Foreign Exchange Administration Applicable to Direct Investment released in February 2015 by SAFE, local banks will examine and handle foreign exchange registration for overseas direct investment, including the initial foreign exchange registration and amendment registration, under SAFE Circular 37 from June 2015. These regulations apply to our shareholders who are PRC residents and may also apply to any offshore acquisitions or investments that we make in the future.</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these foreign exchange regulations, PRC residents who make, or have previously made, prior to the implementation of these foreign exchange regulations, direct or indirect investments in offshore companies are required to register those investments. In addition, any PRC resident who is a direct or indirect shareholder of an offshore company is required to update its previously filed SAFE registration, to reflect any material change involving its round-trip investment. If any PRC shareholder fails to make the required registration or update the previously filed registration, the PRC subsidiary of that offshore parent company may be restricted from distributing their profits and the proceeds from any reduction in capital, share transfer or liquidation to their offshore parent company, and the offshore parent company may also be restricted from injecting additional capital into its PRC subsidiary. Moreover, failure to comply with the various foreign exchange registration requirements described above could result in liability under PRC laws for evasion of applicable foreign exchange restrictions, including (i) the requirement by SAFE to return the foreign exchange remitted overseas or into the PRC within a period of time specified by SAFE, with a fine of up to 30% of the total amount of foreign exchange remitted overseas or into PRC and deemed to have been evasive or illegal and (ii) in circumstances involving serious violations, a fine of no less than 30% of and up to the total amount of remitted foreign exchange deemed evasive or illegal.</w:t>
      </w:r>
    </w:p>
    <w:p>
      <w:pPr>
        <w:spacing w:after="0" w:line="18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are committed to complying with and to ensuring that our shareholders who are subject to these regulations will comply with the relevant SAFE rules and regulations. However, due to the inherent uncertainty in the implementation of the regulatory requirements by the PRC authorities, such registration might not be always practically available in all circumstances as prescribed in those regulations. In addition, we may not always be able to compel them to comply with SAFE Circular 37 or other related regulations. We cannot assure you that SAFE or its local branches will not release explicit requirements or interpret the relevant PRC laws and regulations otherwise. In addition, we may not be fully informed of the identities of all our shareholders or beneficial owners who are PRC residents, and we cannot provide any assurance that all of our shareholders and beneficial owners who are PRC residents will comply with our request to make, obtain or update any applicable registrations or comply with other requirements under SAFE Circular 37 or other related rules in a timely manner.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Because there is uncertainty concerning the reconciliation of these foreign exchange regulations with other approval requirements, it is unclear how these regulations, and any future regulation concerning offshore or cross-border transactions, will be interpreted, amended and implemented by the relevant governmental authorities. We cannot predict how these regulations will affect our business operations or future strategy. For example, we may be subject to a more stringent review and approval process with respect to our foreign exchange activities, such as remittance of dividends and foreign-currency-denominated borrowings, which may adversely affect our results of operations and financial condition. This may restrict our ability to implement our acquisition strategy and could adversely affect our business and prospects.</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our employee share incentive plans or share option plans may subject plan participants, who are PRC residents, or us to fines and other legal or administrative sanctions.</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In February 2012, SAFE promulgated the Notices on Issues Concerning the Foreign Exchange Administration for Domestic Individuals Participating in Stock Incentive Plans of Overseas Publicly-Listed Companies, or SAFE Circular 7. SAFE Circular 7 and other relevant rules and regulations require PRC residents who participate in a stock incentive plan in an overseas publicly tradeable company to register with SAFE or its local branches or the banks and complete certain other procedures. Participants in a stock incentive plan who are PRC residents must retain a qualified PRC agent to conduct the SAFE registration and other procedures with respect to the stock incentive plan on behalf of its participants. Such participants must also retain an overseas entrusted institution to handle matters in connection with their exercise of stock options, the purchase and sale of corresponding stocks or interests and fund transfers. In addition, the PRC agent must amend the SAFE registration with respect to the plan within three months if there is any material change to the stock incentive plan, the PRC agent, or the overseas entrusted institution, or if there are any other material changes in the plan. In addition, SAFE Circular 37 and other relevant rules and regulations stipulate that PRC residents who participate in a share incentive plan of an overseas non-publicly tradeable special purpose company must register with SAFE or its local branches or the banks before they exercise the share options. We and our PRC employees who have been granted share options and restricted shares are subject to these regulations. As of the date of this annual report, we are in the process of applying for such registration under SAFE Circular 7. Failure of our PRC share option holders or restricted shareholders to complete their SAFE registrations may subject them to fines and legal sanctions, and may also limit our ability to contribute additional capital into our PRC subsidiary, limit our PRC subsidiary’s ability to distribute dividends to us, or otherwise adversely affect our business.</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SAT has also issued rules and regulations concerning employee share incentives. Under these rules and regulations, our employees working in the PRC will be subject to PRC individual income tax upon exercise of the share options and/or grant of the restricted shares. Our PRC subsidiaries have obligations to file documents with respect to the granted share options and/or restricted shares with relevant tax authorities and to withhold individual income taxes for their employees upon exercise of the share options and/or grant of the restricted shares. If our employees fail to pay or we fail to withhold their individual income taxes according to relevant rules and regulations, we may face sanctions imposed by the competent governmental authorities.</w:t>
      </w:r>
    </w:p>
    <w:p>
      <w:pPr>
        <w:spacing w:after="0" w:line="19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b w:val="1"/>
          <w:bCs w:val="1"/>
          <w:i w:val="1"/>
          <w:iCs w:val="1"/>
          <w:color w:val="auto"/>
        </w:rPr>
        <w:t>Our leased property interests may be defective and our right to lease the properties affected by defects may be challenged, which could cause disruption to our business.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the date of this annual report, we leased properties for our offices and branch offices in China. Under PRC laws, all lease agreements must be registered with the local housing authorities. As of the date of this annual report, none of the premises we lease have completed the registration of our leases with the local housing authorities. Failure to complete these registrations may expose us to potential monetary fines up to RMB10,000 per unit leasehold.</w:t>
      </w:r>
    </w:p>
    <w:p>
      <w:pPr>
        <w:spacing w:after="0" w:line="18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b w:val="1"/>
          <w:bCs w:val="1"/>
          <w:i w:val="1"/>
          <w:iCs w:val="1"/>
          <w:color w:val="auto"/>
        </w:rPr>
        <w:t>We may be subject to penalties under relevant PRC laws and regulations due to failure to be in full compliance with social insurance and housing provident fund regulation.</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According to the Social Insurance Law of the PRC promulgated in 2010 and the Regulations on Management of Housing Provident Funds promulgated in 1999 and most recently amended in 2019, within a prescribed time limit, we need to register with the relevant social security authority and housing provident fund management center, and to open the relevant accounts and make full contributions for social insurance and housing funds for our employees, and this obligation cannot be delegated to any third party.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Our contributions for some of our employees to the social insurance and housing funds may not have been in compliance with relevant PRC laws and regulations. Some of our subsidiaries or consolidated affiliated entities engaged third-party human resources agencies to pay social insurance and housing funds for some of their employees. As of the date of this annual report, none of these subsidiaries or consolidated affiliated entities had received any notice from the local authorities or any claim or request from these employees in this regard. Under the agreements entered into between the third-party human resources agencies and our relevant subsidiaries or consolidated affiliated entities, the third-party human resources agencies have the obligations to pay social insurance premium and housing provident funds for our relevant employees. However, if the human resource agencies fail to pay the social insurance or housing fund contributions for and behalf of our employees as required under applicable PRC laws and regulations, we may be subject to penalties imposed by the local social insurance authorities and the local housing fund management centers for failing to discharge our obligations in relation to payment of social insurance and housing funds as an employer.</w:t>
      </w:r>
    </w:p>
    <w:p>
      <w:pPr>
        <w:spacing w:after="0" w:line="16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On July 20, 2018, the General Office of the Central Committee of the Communist Party of China and the General Office of the State Council of the PRC issued the Reform Plan of the State Tax and Local Tax Collection Administration System, or the Tax Reform Plan. Under the Tax Reform Plan, commencing from January 1, 2019, tax authorities are responsible for the collection of social insurance contributions in the PRC. The effect of the Tax Reform Plan is still uncertain. We cannot assure that we will not be required to pay any deemed shortfalls or be subject to penalties or fines regarding social security insurance and housing provident funds contributions, any of which may have an adverse effect on our business and results of operations.</w:t>
      </w:r>
    </w:p>
    <w:p>
      <w:pPr>
        <w:spacing w:after="0" w:line="16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actions in China against us or our management named in this annual report based on foreign laws, and the ability of U.S. authorities to bring actions in China may also be limited.</w:t>
      </w:r>
    </w:p>
    <w:p>
      <w:pPr>
        <w:spacing w:after="0" w:line="184"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are an exempted company limited by shares incorporated under the laws of the Cayman Islands, and we conduct substantially all of our operations in China and substantially all of our assets are located in China. In addition, most of our senior executive officers reside in China for a significant portion of the time and most of them are PRC nationals. As a result, it may be difficult for you to effect service of process upon us or those persons inside mainland China. It may also be difficult for you to enforce in the U.S. courts judgments obtained in the U.S. courts based on the civil liability provisions of the U.S. federal securities laws against us and our officers and directors who reside and whose assets are located outside the U.S. There is also uncertainty as to whether the courts of the Cayman Islands or the PRC would recognize or enforce judgments of the U.S. courts against us or such persons predicated upon the civil liability provisions of the securities laws of the U.S. or any state.</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recognition and enforcement of foreign judgments are provided for under the PRC Civil Procedures Law. PRC courts may recognize and enforce foreign judgments in accordance with the requirements of the PRC Civil Procedures Law and other applicable laws, regulations and interpretations based either on treaties between China and the country where the judgment is made or on principles of reciprocity between jurisdictions. China does not have any treaties or other forms of reciprocity with the U.S. that provide for the reciprocal recognition and enforcement of U.S. judgments.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U.S. In addition, the SEC, the U.S. Department of Justice and other U.S. authorities may also have difficulties in bringing and enforcing actions against us or our directors or officers in the PRC.</w:t>
      </w:r>
    </w:p>
    <w:p>
      <w:pPr>
        <w:spacing w:after="0" w:line="165"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Furthermore, shareholder claims that are common in the U.S., including securities law class actions and fraud claims, generally are difficult to pursue as a matter of law or practicality in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such regulatory cooperation with the securities regulatory authorities in the U.S. have not been efficient in the absence of mutual and practical cooperation mechanism.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overseas parties. See also “—Risks Relating to The ADSs—You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b w:val="1"/>
          <w:bCs w:val="1"/>
          <w:i w:val="1"/>
          <w:iCs w:val="1"/>
          <w:color w:val="auto"/>
        </w:rPr>
        <w:t>Recent litigation and negative publicity surrounding China-based companies listed in the U.S. may result in increased regulatory scrutiny of us and negatively impact the trading price of the ADSs and could have an adverse effect upon our business, including our results of operations, financial condition, cash flows and prospects.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believe that litigation and negative publicity surrounding companies with operations in China that are listed in the U.S. have negatively impacted stock prices for these companies. Various equity-based research organizations have published reports on China-based companies after examining their corporate governance practices, related party transactions, sales practices and financial statements, and these reports have led to special investigations and listing suspensions on U.S.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an adverse effect upon our business, including our results of operations, financial condition, cash flows and prospects.</w:t>
      </w:r>
    </w:p>
    <w:p>
      <w:pPr>
        <w:spacing w:after="0" w:line="19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The audit report included in this annual report was prepared by an auditor who is not inspected by the Public Company Accounting Oversight Board and, as such, you are deprived of the benefits of such inspection. In addition, various legislative and regulatory developments related to U.S.-listed China-based companies due to lack of PCAOB inspection may have a material adverse impact on our listing and trading in the U.S. and the trading prices of our ADSs.</w:t>
      </w:r>
    </w:p>
    <w:p>
      <w:pPr>
        <w:spacing w:after="0" w:line="187" w:lineRule="exact"/>
        <w:rPr>
          <w:sz w:val="20"/>
          <w:szCs w:val="20"/>
          <w:color w:val="auto"/>
        </w:rPr>
      </w:pPr>
    </w:p>
    <w:p>
      <w:pPr>
        <w:jc w:val="both"/>
        <w:ind w:left="120" w:right="240" w:firstLine="440"/>
        <w:spacing w:after="0" w:line="301" w:lineRule="auto"/>
        <w:rPr>
          <w:sz w:val="20"/>
          <w:szCs w:val="20"/>
          <w:color w:val="auto"/>
        </w:rPr>
      </w:pPr>
      <w:r>
        <w:rPr>
          <w:rFonts w:ascii="Arial" w:cs="Arial" w:eastAsia="Arial" w:hAnsi="Arial"/>
          <w:sz w:val="16"/>
          <w:szCs w:val="16"/>
          <w:color w:val="auto"/>
        </w:rPr>
        <w:t>Our auditor is registered with the U.S. Public Company Accounting Oversight Board, or the PCAOB. Pursuant to laws in the U.S., the PCAOB has authority to conduct regular inspections of independent registered public accounting firms registered with the PCAOB to assess their compliance with the applicable professional standards. Our auditor is also located in China, a jurisdiction that does not allow the PCAOB to conduct inspections without the approval of the Chinese authorities. As a result, we understand that our auditor is not currently inspected by the PCAOB.</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addition, various legislative and regulatory developments related to U.S.-listed China-based companies due to lack of PCAOB inspection may have a material adverse impact on our listing and trading in the U.S. and the trading prices of our ADSs. The U.S. securities regulators (SEC and PCAOB) and their Chinese counterparts (the China Securities Regulatory Commission, or CSRC, and the PRC Ministry of Finance) have had numerous discussions on the PCAOB’s ability to inspect or investigate the audit work of accounting firms that audit the financial statements of China-based companies. Although discussions between the two sides have continued, the PCAOB currently does not have free access to inspect the work of China-based auditors.</w:t>
      </w:r>
    </w:p>
    <w:p>
      <w:pPr>
        <w:spacing w:after="0" w:line="19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On December 7, 2018, the SEC and the PCAOB issued a joint statement highlighting the continued challenges faced by the U.S. regulators in their oversight of financial statement audits of U.S.-listed companies with significant operations in China. On November 4, 2019, the SEC announced that SEC and PCAOB had dialogue with the “Big Four” accounting firms, which emphasized the need for effective and consistent global firm oversight of member firms, including those operating in China. On February 19, 2020, the SEC and the PCAOB further issued a joint statement on continued dialogue with “Big Four” accounting firms on audit quality in China, highlighting that PCAOB continues to be prevented from inspecting the audit work and practices of PCAOB-registered audit firms in China. On April 21, 2020, the SEC and the PCAOB issued another joint statement, reiterating the greater risks of insufficient disclosures from companies in many emerging markets, including China, compared to those from U.S. domestic companies. In discussing the specific issues related to these risks, the statement again highlighted the PCAOB’s inability to inspect audit work papers and practices of accounting firms in China with respect to U.S. reporting companies. On June 4, 2020, the U.S. President issued a memorandum ordering the President’s Working Group on Financial Markets, or the PWG, to submit a report within 60 days of the memorandum that includes recommendations for actions that can be taken by the executive branch, including the SEC and the PCAOB, on Chinese companies listed on U.S. stock exchanges and their audit firms. On August 6, 2020, the PWG released a report recommending that the SEC take steps to implement the five recommendations outlined in the report. With respect to jurisdictions that do not grant the PCAOB sufficient access to fulfill its statutory mandate, or NCJs, the PWG recommended that enhanced listing standards be applied to companies from NCJs listed on U.S. stock exchanges. The report recommended a transition period until January 1, 2022, before the new listing standards would apply to companies already listed on U.S. stock exchanges. While it is uncertain whether the PWG recommendations will be adopted, in whole or in part, and the impact of any such new rules on us cannot be estimated at this time, if we are unable to meet the enhanced listing standards before their effectiveness, we could face de-listing from the Nasdaq Global Market, deregistration from the SEC and/or other risks, which may materially and adversely affect the market price and liquidity of our ADSs or effectively terminate our ADS trading in the United States.</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As part of a continued regulatory focus in the U.S. on access to audit and other information currently protected by national law, in particular China’s, the President of the United States signed the Holding Foreign Companies Accountable Act, or the HFCA Act into law in December 2020.The HFCA Act includes requirements for the SEC to identify issuers whose audit work is performed by auditors that the PCAOB is unable to inspect or investigate completely because of a restriction imposed by a non-U.S. authority in the auditor’s local jurisdiction. The HFCA Act also requires the SEC to prohibit securities of issuers registered in the United States from being traded on any national securities exchange or over-the-counter markets in the United States if the PCAOB has been unable to inspect the issuer’s auditor for three consecutive years beginning in 2021. As a result, our securities may be prohibited from trading on NASDAQ Global Market or another U.S. stock exchange if our auditor is not inspected by the PCAOB for three consecutive years as specified in the HFCA Act, and this ultimately could result in our ADS being delisted or adverse affected on the market price of our ADSs.</w:t>
      </w:r>
    </w:p>
    <w:p>
      <w:pPr>
        <w:spacing w:after="0" w:line="196" w:lineRule="exact"/>
        <w:rPr>
          <w:sz w:val="20"/>
          <w:szCs w:val="20"/>
          <w:color w:val="auto"/>
        </w:rPr>
      </w:pPr>
    </w:p>
    <w:p>
      <w:pPr>
        <w:ind w:left="120" w:right="200" w:firstLine="440"/>
        <w:spacing w:after="0" w:line="381" w:lineRule="auto"/>
        <w:rPr>
          <w:sz w:val="20"/>
          <w:szCs w:val="20"/>
          <w:color w:val="auto"/>
        </w:rPr>
      </w:pPr>
      <w:r>
        <w:rPr>
          <w:rFonts w:ascii="Arial" w:cs="Arial" w:eastAsia="Arial" w:hAnsi="Arial"/>
          <w:sz w:val="15"/>
          <w:szCs w:val="15"/>
          <w:b w:val="1"/>
          <w:bCs w:val="1"/>
          <w:i w:val="1"/>
          <w:iCs w:val="1"/>
          <w:color w:val="auto"/>
        </w:rPr>
        <w:t>Proceedings instituted by the SEC against Chinese affiliates of the “big four” accounting firms, including our independent registered public accounting firm, could result in financial statements being determined to not be in compliance with the requirements of the Exchange Act.</w:t>
      </w:r>
    </w:p>
    <w:p>
      <w:pPr>
        <w:spacing w:after="0" w:line="10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In December 2012, the SEC instituted administrative proceedings against the Big Four PRC-based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U.S.</w:t>
      </w:r>
    </w:p>
    <w:p>
      <w:pPr>
        <w:spacing w:after="0" w:line="14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January 22, 2014, the administrative law judge, or the ALJ,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 Our audit committee is aware of the policy restriction and communicates with our independent registered public accounting firm to ensure compliance. If additional remedial measures are imposed on the China-based accounting firms, including our independent registered public accounting firm, in administrative proceedings brought by the SEC alleging the firms’ failure to meet specific criteria set by the SEC with respect to its requests for the production of documents, we could be unable to timely file financial statements in compliance with the requirements of the Exchange Act in the future. The settlement did not require these firms to admit to any violation of law and preserves these firms’ legal defenses in the event the administrative proceeding is restarted. In the event that the SEC restarts the administrative proceedings, depending upon the final outcome, listed companies in the U.S.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the proceedings against these audit firms may cause investor uncertainty regarding PRC-based, U.S.-listed companies and the market price of our ADSs may be adversely affected.</w:t>
      </w:r>
    </w:p>
    <w:p>
      <w:pPr>
        <w:spacing w:after="0" w:line="17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our ordinary shares from the Nasdaq Global Market or deregistration from the SEC, or both, which would substantially reduce or effectively terminate the trading of our ADSs in the U.S.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ADSs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trading price of ADSs has been and may continue to be volatile, which could result in substantial losses to investors.</w:t>
      </w:r>
    </w:p>
    <w:p>
      <w:pPr>
        <w:spacing w:after="0" w:line="22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Since our ADSs became listed on NASDAQ on June 12, 2020, the trading price of our ADSs has ranged from US$18.64 to US$39.75 per ADS. The trading price of our ADSs may continue to be volatile and could fluctuate widely due to factors beyond our control. This may happen because of broad market and industry factors, like the performance and fluctuation of the market prices of other companies with business operations located mainly in China that have listed their securities in the U.S. A number of Chinese companies have listed or are in the process of listing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U.S. in general and consequently may impact the trading performance of the ADSs, regardless of our actual operating performance.</w:t>
      </w:r>
    </w:p>
    <w:p>
      <w:pPr>
        <w:spacing w:after="0" w:line="192"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In addition to market and industry factors, the price and trading volume for the ADSs may be highly volatile for factors specific to our own operations, including the following:</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variations in our revenues, earnings and cash flow;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new services and expansions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on our part to realize monetization opportunities as expected;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detrimental adverse publicity about us, our services or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developments affecting us or our industry;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Shareholders of public companies have often brought securities class action suits against those companies following periods of instability in the market price of their securities. If we were involved in such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an adverse effect on our financial condition and results of operations.</w:t>
      </w:r>
    </w:p>
    <w:p>
      <w:pPr>
        <w:spacing w:after="0" w:line="19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ADSs could adversely affect their market price.</w:t>
      </w:r>
    </w:p>
    <w:p>
      <w:pPr>
        <w:spacing w:after="0" w:line="225"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Sales of substantial amounts of ADSs in the public market, or the perception that these sales could occur, could adversely affect the market price of ADSs and could impair our ability to raise capital through equity offerings in the future. As of February 28, 2021, we had 104,548,489 ordinary shares issued and outstanding, comprising (i) 87,223,641 Class A ordinary shares (excluding 670,191 Class A ordinary shares issued to our depositary bank for bulk issuance of ADSs reserved for future issuances upon the exercise or vesting of awards granted under our share incentive plans), and (ii) 17,324,848 Class B ordinary shares. Among these shares, 29,047,308 Class A ordinary shares are in the form ADSs, which are freely transferable without restriction or additional registration under Securities Act. The remaining outstanding ordinary shares may also be sold in public market, subject to volume and other restrictions as applicable under Rules 144 and 701 under the Securities Act and the applicable lock-up agreements, if any. To the extent shares are released before the expiration of the applicable lock-up period and sold into the market, the market price of the ADSs could decline.</w:t>
      </w:r>
    </w:p>
    <w:p>
      <w:pPr>
        <w:spacing w:after="0" w:line="165"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If a large number of our ordinary shares or securities convertible into our ordinary shares are sold in the public market after they become eligible for sale, the sales could adversely affect the trading price of the ADSs and impede our ability to raise future capital. In addition, any ordinary shares that we issue under our share incentive plan or pursuant to any award agreements would dilute the percentage ownership held by ADS holders.</w:t>
      </w:r>
    </w:p>
    <w:p>
      <w:pPr>
        <w:spacing w:after="0" w:line="14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price appreciation of the ADSs for return on your investment.</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board of directors has complete discretion as to whether to distribute dividends, subject to our memorandum and articles of association and certain requirements of Cayman Islands law.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the ADSs will likely depend entirely upon any future price appreciation of the ADSs. You may not realize a return on your investment in our ADSs and you may even lose your entire investment in the ADSs.</w:t>
      </w:r>
    </w:p>
    <w:p>
      <w:pPr>
        <w:spacing w:after="0" w:line="16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of February 28, 2021, our directors and officers collectively own an aggregate of 62.4% of the total voting power of our outstanding ordinary shares. As a result, they have substantial influence over our business, including significant corporate actions such as change of directors, mergers, change of control transactions and other significant corporate actions.</w:t>
      </w:r>
    </w:p>
    <w:p>
      <w:pPr>
        <w:spacing w:after="0" w:line="18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Our directors, offices, and principal shareholders may take actions that are not in the best interest of us or our other shareholders. The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shareholders, including ADS holders. In addition, the significant concentration of share ownership may adversely affect the trading price of the ADSs due to investors’ perception that conflicts of interest may exist or arise.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b w:val="1"/>
          <w:bCs w:val="1"/>
          <w:i w:val="1"/>
          <w:iCs w:val="1"/>
          <w:color w:val="auto"/>
        </w:rPr>
        <w:t>There can be no assurance that we will not be a passive foreign investment company, or PFIC, for U.S. federal income tax purposes for any taxable year, which could result in adverse U.S. federal income tax consequences to U.S. holders of ADSs or ordinary shares.</w:t>
      </w:r>
    </w:p>
    <w:p>
      <w:pPr>
        <w:spacing w:after="0" w:line="124" w:lineRule="exact"/>
        <w:rPr>
          <w:sz w:val="20"/>
          <w:szCs w:val="20"/>
          <w:color w:val="auto"/>
        </w:rPr>
      </w:pPr>
    </w:p>
    <w:p>
      <w:pPr>
        <w:jc w:val="both"/>
        <w:ind w:left="120" w:right="180" w:firstLine="440"/>
        <w:spacing w:after="0" w:line="287" w:lineRule="auto"/>
        <w:rPr>
          <w:sz w:val="20"/>
          <w:szCs w:val="20"/>
          <w:color w:val="auto"/>
        </w:rPr>
      </w:pPr>
      <w:r>
        <w:rPr>
          <w:rFonts w:ascii="Arial" w:cs="Arial" w:eastAsia="Arial" w:hAnsi="Arial"/>
          <w:sz w:val="16"/>
          <w:szCs w:val="16"/>
          <w:color w:val="auto"/>
        </w:rPr>
        <w:t>A non-U.S. corporation will be a passive foreign investment company, or PFIC, for any taxable year if either (i) at least 75% of its gross income for such year consists of certain types of “passive” income; or (ii) at least 50% of the value of its assets (based on an average of the quarterly values of the assets) during such year is attributable to assets that produce passive income or are held for the production of passive income (the “asset test”).</w:t>
      </w:r>
    </w:p>
    <w:p>
      <w:pPr>
        <w:spacing w:after="0" w:line="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Based on our financial statements, the manner in which we conduct our business, relevant market data, the value and nature of our assets, the sources and nature of our income, and our expectations for the future, we do not believe we were a PFIC for our prior taxable year and we do not anticipate being a PFIC for our current taxable year or in the foreseeable future. However, no assurance can be given in this regard because the determination of whether we are or will become a PFIC is a fact-intensive inquiry made on an annual basis that depends, in part, upon the composition of our income and assets. Fluctuations in the market price of the ADSs may cause us to become a PFIC for the current or subsequent taxable years because the value of our assets for the purpose of the asset test may be determined by reference to the market price of the ADSs. The composition of our income and assets may also be affected by how, and how quickly, we use our cash and other liquid assets.</w:t>
      </w:r>
    </w:p>
    <w:p>
      <w:pPr>
        <w:spacing w:after="0" w:line="18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we were to be or become a PFIC for any taxable year during which a U.S. Holder (as defined in “Item 10. Additional Information—E. Taxation —United States Federal Income Tax Considerations”) holds the ADSs or ordinary shares, certain adverse U.S. federal income tax consequences could apply to such U.S. Holder. For more details of these adverse tax consequences, see “Item 10. Additional Information—E. Taxation—United States Federal Income Tax Considerations—Passive Foreign Investment Company Rules.”</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b w:val="1"/>
          <w:bCs w:val="1"/>
          <w:i w:val="1"/>
          <w:iCs w:val="1"/>
          <w:color w:val="auto"/>
        </w:rPr>
        <w:t>Our memorandum and articles of association contain anti-takeover provisions that could have an adverse effect on the rights of holders of our ordinary shares and the ADSs.</w:t>
      </w:r>
    </w:p>
    <w:p>
      <w:pPr>
        <w:spacing w:after="0" w:line="170"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Our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adversely affected.</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an exempted company limited by shares incorporated under the laws of the Cayman Islands. Our corporate affairs are governed by our memorandum and articles of association, as amended, the Companies Act of the Cayman Islands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U.S. In particular, the Cayman Islands has a less developed body of securities laws than the U.S. Some U.S. states, such as Delaware, have more fully developed and judicially interpreted bodies of corporate law than the Cayman Islands. In addition, Cayman Islands companies may not have standing to initiate a shareholder derivative action in a federal court of the U.S.</w:t>
      </w:r>
    </w:p>
    <w:p>
      <w:pPr>
        <w:spacing w:after="0" w:line="18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or to obtain copies of lists of shareholders of these companies (other than copies of our memorandum and articles of association and register of mortgages and charges, and any special resolutions passed by our shareholders). Under Cayman Islands law, the names of our current directors can be obtained from a search conducted at the Registrar of Companies.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As a company incorporated in the Cayman Islands, we are permitted to adopt certain home country practices in relation to corporate governance matters that differ significantly from the NASDAQ corporate governance requirements; these practices may afford less protection to shareholders than they otherwise would under rules and regulations applicable to U.S. domestic issuers.</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As a result of all of the above, our public shareholders may have more difficulties in protecting their interests in the face of actions taken by management, members of the board of directors or controlling shareholders than they would as public shareholders of a company incorporated in the U.S.</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b w:val="1"/>
          <w:bCs w:val="1"/>
          <w:i w:val="1"/>
          <w:iCs w:val="1"/>
          <w:color w:val="auto"/>
        </w:rPr>
        <w:t>We expect to incur increased costs and become subject to additional rules and regulations as a result of being a public company, particularly after we cease to qualify as an “emerging growth company.”</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As a public company, we expect to incur significant legal, accounting and other expenses that we did not incur as a private company. The Sarbanes-Oxley Act of 2002, as well as rules subsequently implemented by the SEC and the NASDAQ Global Market, impose various requirements on the corporate governance practices of public companies. As a company with less than US$1.07 billion in net revenues for our last financial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expect these rules and regulations to increase our legal and financial compliance costs and to make some corporate activities more time-consuming and costly. After we are no longer an “emerging growth company,” we expect to incur significant additional expenses and devote additional management effort toward ensuring compliance with the requirements of Section 404 of the Sarbanes-Oxley Act of 2002 and the other rules and regulations of the SEC. Such compliance may require that we incur substantial accounting expenses and expend significant management effort. As a public company, we will need to increase the number of independent directors and adopt policies regarding internal controls and disclosure controls and procedures. We believe that operating as a public company also makes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8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Because we are a foreign private issuer under the Exchange Act, we are exempt from certain provisions of the securities rules and regulations in the U.S. that are applicable to U.S. domestic issuers, including:</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of quarterly reports on Form 10-Q or current reports on Form 8-K with the SEC;</w:t>
      </w:r>
    </w:p>
    <w:p>
      <w:pPr>
        <w:spacing w:after="0" w:line="142"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60"/>
          </w:cols>
          <w:pgMar w:left="320" w:top="459"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required to file an annual report on Form 20-F within four months of the end of each fiscal year. In addition, we publish our results on a quarterly basis through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 and it may be more difficult for overseas regulators to conduct investigation or collect evidence within China.</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direct the voting of the underlying Class A ordinary shares which are represented by your ADSs.</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As a holder of ADSs, you will not have any direct right to attend general meetings of our shareholders or to cast any votes at such meetings. You will only be able to exercise the voting rights which attach to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as the holder of the underlying Class A ordinary shares which are represented by your ADSs. Upon receipt of your voting instructions, if voting is by poll, the depositary will try, as far as is practicable, to vote the Class A ordinary shares underlying your ADSs in accordance with your instructions. If voting is by show of hands, the depositary will vote all ordinary shares held on deposit at that time in accordance with the voting instructions received from a majority of holders of ADSs who provide timely instructions. You will not be able to directly exercise any right to vote with respect to the underlying Class A ordinary shares unless you withdraw the shares and become the registered holder of such shares prior to the record date for the general meeting. Under our memorandum and articles of association, the minimum notice period required to be given by our company to our registered shareholders for convening a general meeting is seven (7) calendar days. When a general meeting is convened, you may not receive sufficient advance notice to enable you to withdraw the underlying Class A ordinary shares which are represented by your ADSs and become the registered holder of such shares prior to the record date for the general meeting to allow you to attend the general meeting or to vote directly with respect to any specific matter or resolution which is to be considered and voted upon at the general meeting. In addition, under our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which are represented by your ADSs and becoming the registered holder of such shares prior to the record date, so that you would not be able to attend the general meeting or to vote directly. Where any matter is to be put to a vote at a general meeting, the depositary will, if we request, and subject to the terms of the deposit agreement, endeavor to notify you of the upcoming vote and to deliver our voting materials to you. We cannot assure you that you will receive the voting materials in time to ensure that you can instruct the depositary to vote the underlying Class A ordinary shares which are represented by your ADSs. In addition, the depositary and its agents are not responsible for failing to carry out voting instructions or for their manner of carrying out your voting instructions. This means that you may not be able to exercise your right to direct the voting of the underlying Class A ordinary shares which are represented by your ADSs, and you may have no legal remedy if the underlying Class A ordinary shares are not voted as you requested.</w:t>
      </w:r>
    </w:p>
    <w:p>
      <w:pPr>
        <w:spacing w:after="0" w:line="17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shares and you may not receive any value for them, if it is illegal or impractical to make them available to you.</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depositary has agreed to pay you any cash dividends or other distributions it or the custodian receives on shares or other deposited securities underlying your ADSs, after deducting its fees and expenses. You will receive these distributions in proportion to the number of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225"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such rights available to you in the U.S.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225"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57"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the ADSs may view as beneficial.</w:t>
      </w:r>
    </w:p>
    <w:p>
      <w:pPr>
        <w:spacing w:after="0" w:line="124"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We have a dual-class share structure such that our ordinary shares consist of Class A ordinary shares and Class B ordinary shares. In respect of matters requiring the votes of shareholders, holders of Class A ordinary shares are entitled to one vote per share, while holders of Class B ordinary shares are entitled to six votes per share based on our dual-class share structure.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and under certain other circumstances, such Class B ordinary shares shall be automatically and immediately converted into the equal number of Class A ordinary shares. If any of such Class B ordinary shares are converted into Class A ordinary shares or cancelled for any reasons, our board of directors will have the authority without further action by our shareholders to issue additional Class B ordinary shares, which will be dilutive to our Class A ordinary shareholders and ADS holders.</w:t>
      </w:r>
    </w:p>
    <w:p>
      <w:pPr>
        <w:spacing w:after="0" w:line="18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of February 28, 2021, our founder, chairman of the board of directors and chief executive officer, Mr. Yusheng Han, beneficially owns all of our issued Class B ordinary shares. The Class B ordinary shares constitute 16.6% of our total issued and outstanding share capital and 54.4% of the aggregate voting power of our issued and outstanding share capital due to the disparate voting powers associated with our dual-class share structure. See “Item 6. Directors, Senior Management and Employees—E. Share Ownership.” As a result of the dual-class share structure and the concentration of ownership, our founder and chief executive officer, Mr. Yusheng Han, has considerable influence over matters such as decisions regarding change of directors, mergers, change of control transactions and other significant corporate actions. He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The dual-class structure of our ordinary shares may adversely affect the trading market for and the trading price of the ADSs.</w:t>
      </w:r>
    </w:p>
    <w:p>
      <w:pPr>
        <w:spacing w:after="0" w:line="23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Any actions or publications by shareholder advisory firms critical of our corporate governance practices or capital structure could also adversely affect the value of the ADSs.</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70"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deposit agreement governing the ADSs representing our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84"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are an exempted company limited by shares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U.S. upon these individuals, or to bring an action against us or against these individuals in the U.S.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8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as well as public policy considerations and conditions set forth in applicable provisions of other PRC laws relating to the enforcement of civil liability. In addition, according to the PRC Civil Procedures Law, the PRC courts will not enforce a foreign judgment against us or our director and officers if they decide that the judgment violates the basic principles of PRC laws or national sovereignty, security or public interest. As a result, it is uncertain whether and on what basis a PRC court would enforce a judgment rendered by a court in the United States or the Cayman Islands.</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4. INFORMATION ON THE COMPANY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commenced our operation in January 2014 through Burning Rock (Beijing) Biotechnology Co., Ltd., a PRC company. In March 2014, we incorporated Burning Rock Biotech Limited in the Cayman Islands as our offshore holding company in order to facilitate foreign investment in our company. Subsequently, we established BR Hong Kong Limited as our intermediate holding company in April 2014, which in turn established a wholly-owned PRC subsidiary, Beijing Burning Rock Biotech Limited, our WFOE, in June 2014. In the same month, our WFOE entered into a series of contractual arrangements with Burning Rock (Beijing) Biotech Limited and its then shareholders, and Burning Rock (Beijing) Biotechnology Co., Ltd. became our variable interest entity, or VIE. These contractual arrangements were amended and restated in October 2019. See “Item 4. Information on the Company—C. Organizational Structure—Contractual Arrangements.”</w:t>
      </w:r>
    </w:p>
    <w:p>
      <w:pPr>
        <w:spacing w:after="0" w:line="17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We conduct our NGS-based cancer therapy selection business primarily through the wholly-owned subsidiaries of our VIE, Guangzhou Burning Rock Dx Co., Ltd. and Guangzhou Burning Rock Medical Equipment Co., Ltd., which were established in March 2014 and January 2015, respectively.</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On June 12, 2020, our ADSs commenced trading on NASDAQ Global Market under the symbol “BNR.” We raised from our initial public offering US$234.9 million net proceeds, after the underwriters exercised in full their option to purchase additional ADSs. Concurrently with our initial public offering, we raised US$25 million from Lake Bleu Prime Healthcare Master, in a private placement.</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December 8, 2020, we completed a registered follow-on public offering by certain selling shareholders of 2,243,000 ADSs at a public offering price of US$25.75 per ADS. We did not receive any proceeds from the follow-on public offering.</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Our principal executive offices are located at 601, 6/F, Building 3, Standard Industrial Unit 2, No.7 Luoxuan 4th Road, International Bio Island, Guangzhou, the People’s Republic of China. Our telephone number at this address is +86 020-3403 7871. Our registered office in the Cayman Islands is located at the offices of Maples Corporate Services Limited at PO Box 309, Ugland House, Grand Cayman, KY1-1104, Cayman Islands.</w:t>
      </w:r>
    </w:p>
    <w:p>
      <w:pPr>
        <w:spacing w:after="0" w:line="149" w:lineRule="exact"/>
        <w:rPr>
          <w:sz w:val="20"/>
          <w:szCs w:val="20"/>
          <w:color w:val="auto"/>
        </w:rPr>
      </w:pPr>
    </w:p>
    <w:p>
      <w:pPr>
        <w:ind w:left="120" w:right="1220" w:firstLine="440"/>
        <w:spacing w:after="0" w:line="277" w:lineRule="auto"/>
        <w:rPr>
          <w:sz w:val="20"/>
          <w:szCs w:val="20"/>
          <w:color w:val="auto"/>
        </w:rPr>
      </w:pPr>
      <w:r>
        <w:rPr>
          <w:rFonts w:ascii="Arial" w:cs="Arial" w:eastAsia="Arial" w:hAnsi="Arial"/>
          <w:sz w:val="18"/>
          <w:szCs w:val="18"/>
          <w:color w:val="auto"/>
        </w:rPr>
        <w:t>Investors should submit any inquiries to the address and telephone number of our principal executive offices. Our main website is http://www.brbiotech.com. The information contained on our website is not a part of this annual report.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SEC maintains an internet site (http://www.sec.gov), which contains reports, proxy and information statements, and other information regarding us that file electronically with the SEC.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Business Overview</w:t>
      </w:r>
    </w:p>
    <w:p>
      <w:pPr>
        <w:spacing w:after="0" w:line="121" w:lineRule="exact"/>
        <w:rPr>
          <w:sz w:val="20"/>
          <w:szCs w:val="20"/>
          <w:color w:val="auto"/>
        </w:rPr>
      </w:pPr>
    </w:p>
    <w:p>
      <w:pPr>
        <w:ind w:left="120" w:right="280" w:firstLine="440"/>
        <w:spacing w:after="0" w:line="274" w:lineRule="auto"/>
        <w:rPr>
          <w:sz w:val="20"/>
          <w:szCs w:val="20"/>
          <w:color w:val="auto"/>
        </w:rPr>
      </w:pPr>
      <w:r>
        <w:rPr>
          <w:rFonts w:ascii="Arial" w:cs="Arial" w:eastAsia="Arial" w:hAnsi="Arial"/>
          <w:sz w:val="17"/>
          <w:szCs w:val="17"/>
          <w:color w:val="auto"/>
        </w:rPr>
        <w:t>We aim to transform precision oncology and early cancer detection. We are China’s leading NGS-based cancer therapy selection company. Our cancer therapy selection platform is built upon our advanced proprietary technologies, comprehensive portfolio of products and</w:t>
      </w:r>
    </w:p>
    <w:p>
      <w:pPr>
        <w:ind w:left="120" w:right="20"/>
        <w:spacing w:after="0" w:line="260" w:lineRule="auto"/>
        <w:rPr>
          <w:sz w:val="20"/>
          <w:szCs w:val="20"/>
          <w:color w:val="auto"/>
        </w:rPr>
      </w:pPr>
      <w:r>
        <w:rPr>
          <w:rFonts w:ascii="Arial" w:cs="Arial" w:eastAsia="Arial" w:hAnsi="Arial"/>
          <w:sz w:val="18"/>
          <w:szCs w:val="18"/>
          <w:color w:val="auto"/>
        </w:rPr>
        <w:t>a two-pronged market-driven commercial infrastructure addressing both larger hospitals through our in-hospital model and smaller hospitals through our central laboratory model.</w:t>
      </w:r>
    </w:p>
    <w:p>
      <w:pPr>
        <w:spacing w:after="0" w:line="18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advanced technology platform integrates cutting-edge proprietary cancer therapy selection technologies using both tissue and liquid biopsies, including assay biochemistry, bioinformatics and a patented laboratory information management system. Our proprietary HS library preparation technology allows us to work with poor quality and limited volume samples and enables enhanced sensitivity—capabilities that are critical to effectively deploying NGS-based cancer therapy selection, especially in China. Our in-depth cancer genomics insights, accumulated from over 273,000 tests performed since our inception, enable us to process and accurately analyze genomic information and achieve a median turnaround time of 6 days.</w:t>
      </w:r>
    </w:p>
    <w:p>
      <w:pPr>
        <w:spacing w:after="0" w:line="16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NGS-based cancer therapy selection test products are used to assist physicians in selecting the most effective therapy for cancer patients. We primarily offer 12 NGS-based cancer therapy selection tests applicable to a broad range of cancer types, including lung cancer, gastrointestinal cancer, prostate cancer, breast cancer, lymphomas, thyroid cancer, colorectal cancer, ovarian cancer, pancreatic cancer, and bladder cancer, using both tissue and liquid biopsy samples. Our core products, including OncoCompass</w:t>
      </w:r>
      <w:r>
        <w:rPr>
          <w:rFonts w:ascii="Arial" w:cs="Arial" w:eastAsia="Arial" w:hAnsi="Arial"/>
          <w:sz w:val="14"/>
          <w:szCs w:val="14"/>
          <w:color w:val="auto"/>
        </w:rPr>
        <w:t>TM</w:t>
      </w:r>
      <w:r>
        <w:rPr>
          <w:rFonts w:ascii="Arial" w:cs="Arial" w:eastAsia="Arial" w:hAnsi="Arial"/>
          <w:sz w:val="17"/>
          <w:szCs w:val="17"/>
          <w:color w:val="auto"/>
        </w:rPr>
        <w:t xml:space="preserve"> IO, OncoScreen</w:t>
      </w:r>
      <w:r>
        <w:rPr>
          <w:rFonts w:ascii="Arial" w:cs="Arial" w:eastAsia="Arial" w:hAnsi="Arial"/>
          <w:sz w:val="14"/>
          <w:szCs w:val="14"/>
          <w:color w:val="auto"/>
        </w:rPr>
        <w:t>TM</w:t>
      </w:r>
      <w:r>
        <w:rPr>
          <w:rFonts w:ascii="Arial" w:cs="Arial" w:eastAsia="Arial" w:hAnsi="Arial"/>
          <w:sz w:val="17"/>
          <w:szCs w:val="17"/>
          <w:color w:val="auto"/>
        </w:rPr>
        <w:t xml:space="preserve"> IO and OncoCompass</w:t>
      </w:r>
      <w:r>
        <w:rPr>
          <w:rFonts w:ascii="Arial" w:cs="Arial" w:eastAsia="Arial" w:hAnsi="Arial"/>
          <w:sz w:val="14"/>
          <w:szCs w:val="14"/>
          <w:color w:val="auto"/>
        </w:rPr>
        <w:t>TM</w:t>
      </w:r>
      <w:r>
        <w:rPr>
          <w:rFonts w:ascii="Arial" w:cs="Arial" w:eastAsia="Arial" w:hAnsi="Arial"/>
          <w:sz w:val="17"/>
          <w:szCs w:val="17"/>
          <w:color w:val="auto"/>
        </w:rPr>
        <w:t xml:space="preserve"> Target, perform on par with those of our global peers. We are the clear leader in the lung cancer segment of China’s NGS-based cancer therapy selection market. We believe we offer the best NGS-based cancer therapy selection products and services in China, and we have won the trust of pharmaceutical companies, physicians, hospitals and patients with our high quality standards, superior product performance and strong service support. Our products are recognized by the medical, pharmaceutical and scientific communities, as evidenced by (i) the use of our products by oncology key opinion leaders in clinical trials and research studies they initiate, and (ii) our collaborations on clinical trials and research studies with leading pharmaceutical companies including AstraZeneca (NYSE: AZN), Bayer (ETR: BAYN), Johnson &amp; Johnson (NYSE: JNJ), CStone (HKEX: 2616) and BeiGene (HKEX: 6160), primarily by providing central laboratory services and companion diagnostics development services to these pharmaceutical companies. The results of these clinical trials and research studies have been published in over 100 peer-reviewed articles, and the results of research studies using our products have been published in numerous peer-reviewed articles .</w:t>
      </w:r>
    </w:p>
    <w:p>
      <w:pPr>
        <w:spacing w:after="0" w:line="186"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are the only company in China that has both (i) an NGS laboratory certified under the CLIA, accredited by the CAP, and certified by China’s NCCL, and (ii) an NGS-based reagent kit approved by China’s NMPA. We believe these certifications, accreditations and regulatory approvals endorse the efficiency, accuracy and consistency of our testing results.</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pioneered a two-pronged commercial infrastructure, consisting of both central and in-hospital laboratories, to maximize market penetration and create higher barriers to entry.</w:t>
      </w:r>
    </w:p>
    <w:p>
      <w:pPr>
        <w:spacing w:after="0" w:line="76" w:lineRule="exact"/>
        <w:rPr>
          <w:sz w:val="20"/>
          <w:szCs w:val="20"/>
          <w:color w:val="auto"/>
        </w:rPr>
      </w:pPr>
    </w:p>
    <w:p>
      <w:pPr>
        <w:ind w:left="1080" w:hanging="424"/>
        <w:spacing w:after="0" w:line="254"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Central laboratory model</w:t>
      </w:r>
      <w:r>
        <w:rPr>
          <w:rFonts w:ascii="Arial" w:cs="Arial" w:eastAsia="Arial" w:hAnsi="Arial"/>
          <w:sz w:val="18"/>
          <w:szCs w:val="18"/>
          <w:color w:val="auto"/>
        </w:rPr>
        <w:t>: Our central laboratory processes cancer patients’ tissue and liquid biopsy samples delivered to us from hospitals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China and issues test reports. In 2020, approximately 44% of the tests performed under our central laboratory model were conducted on liquid biopsy samples. This model has enabled us to become China’s largest provider of NGS-based cancer therapy selection tests while building relationships with over 5,120 physicians from 700 hospitals across China. Our central laboratory also supports our collaborations with pharmaceutical companies. We are the leader in the central laboratory segment of China’s NGS-based cancer therapy selection market. Revenue from our central laboratory model has accounted for a substantial majority of our revenue, and we expect it to continue to grow.</w:t>
      </w:r>
    </w:p>
    <w:p>
      <w:pPr>
        <w:spacing w:after="0" w:line="100" w:lineRule="exact"/>
        <w:rPr>
          <w:rFonts w:ascii="Arial" w:cs="Arial" w:eastAsia="Arial" w:hAnsi="Arial"/>
          <w:sz w:val="18"/>
          <w:szCs w:val="18"/>
          <w:color w:val="auto"/>
        </w:rPr>
      </w:pPr>
    </w:p>
    <w:p>
      <w:pPr>
        <w:ind w:left="1080" w:right="20" w:hanging="424"/>
        <w:spacing w:after="0" w:line="288"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In-hospital model</w:t>
      </w:r>
      <w:r>
        <w:rPr>
          <w:rFonts w:ascii="Arial" w:cs="Arial" w:eastAsia="Arial" w:hAnsi="Arial"/>
          <w:sz w:val="16"/>
          <w:szCs w:val="16"/>
          <w:color w:val="auto"/>
        </w:rPr>
        <w:t>: Chinese hospitals generally prefer to conduct laboratory tests in-house. However, despite the large and growing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demand for NGS-based cancer therapy selection tests, hospitals face multiple challenges in adopting these tests, which have technically sophisticated workflows. In 2016, we became China’s first NGS-based cancer therapy selection company to offer an in-hospital model, providing turn-key solutions to address Chinese hospitals’ challenges in adopting NGS-based cancer therapy selection. We help our partner hospitals establish their in-hospital laboratories, install laboratory equipment and systems, and provide ongoing training and support. With these laboratories, equipment and systems in place, we sell them our reagent kits on a recurring basis, which allow them to perform testing on their own in a standardized manner. We have partnered with 52 Class III Grade A hospitals (the highest of China’s nine-tiered hospital designation system) as of December 31, 2020. Since our inception, over 72,000 tests have been performed under our in-hospital model. While revenue from our in-hospital model is still relatively small, we are investing substantially to expand it and expect it to become an increasingly important segment of China’s NGS-based cancer therapy selection market.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addition to our NGS-based cancer therapy selection tests, we are also investing in our development of early cancer detection tests. Early cancer detection can substantially increase the chances of successful treatment and therefore presents enormous market opportunities. However, it is extremely difficult to develop liquid biopsy-based early cancer detection tests with the sensitivity and specificity needed for the tests to be clinically useful. Our targeted DNA methylation-based library preparation technologies and bioinformatics effectively address these challenges by enhancing</w:t>
      </w:r>
    </w:p>
    <w:p>
      <w:pPr>
        <w:spacing w:after="0" w:line="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signal-to-noise ratio on the most informative cancer-associated methylation loci and blocks, enabling us to detect extremely low circulating levels of cancer biomarkers to facilitate accurate early detection of multiple cancers. Our early cancer detection technologies have demonstrated an overall sensitivity of 80.6% across six cancer types (including lung cancer, colorectal cancer, liver cancer, ovarian cancer, pancreatic cancer and esophageal cancer) at various stages, with 98.3% specificity (meaning 98.3% of asymptomatic participants test negative for any cancer). We will continue our research and development efforts in early cancer detection, with the aim of developing pan-cancer early detection products.</w:t>
      </w:r>
    </w:p>
    <w:p>
      <w:pPr>
        <w:spacing w:after="0" w:line="178"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Molecular residual disease, or MRD, detection is useful for monitoring post-treatment cancer patients, and we are also researching ways to leverage our existing technologies to develop MRD detection products.</w:t>
      </w:r>
    </w:p>
    <w:p>
      <w:pPr>
        <w:spacing w:after="0" w:line="170"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are one of the fastest-growing companies in China’s NGS-based cancer therapy selection market. Our revenue increased by 82.7% from RMB208.9 million in 2018 to RMB381.7 million in 2019 and further increased by 12.6% to RMB429.9 million (US$65.9 million) in 2020. Our gross profit increased by 102.4% from RMB135.1 million in 2018 to RMB273.3 million in 2019 and further increased by 14.8% to RMB313.9 million (US$48.1 million) in 2020. Our gross profit margin was 64.7%, 71.6% and 73.0% in 2018, 2019 and 2020, respectively.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NGS-Based Cancer Therapy Selection Technologies</w:t>
      </w:r>
    </w:p>
    <w:p>
      <w:pPr>
        <w:spacing w:after="0" w:line="117"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The adoption of NGS-based cancer therapy selection in China presents a number of challenges, including (i) library preparation and probe hybridization using the low-quality FFPE samples containing degraded or low quantities of DNA that are common in China, and (ii) Chinese hospitals typically prefer to perform tests in-house rather than outsourcing to third parties, but lack the required expertise, knowledge and skills to</w:t>
      </w:r>
    </w:p>
    <w:p>
      <w:pPr>
        <w:spacing w:after="0" w:line="2"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perform NGS-based cancer therapy selection tests. We have developed the proprietary assay biochemistry and bioinformatics described below that underlie our current product portfolio and effectively address those challenges.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HS Library Preparation Technology—Enhancing Capture Efficiency for Low-Quality FFPE Samples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low quality FFPE samples available in China often fail to meet the minimum quality and quantity thresholds required for</w:t>
      </w:r>
    </w:p>
    <w:p>
      <w:pPr>
        <w:spacing w:after="0" w:line="2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standard NGS-based cancer therapy selection. Our proprietary High Sensitivity, or HS, library preparation technology improves the capture efficiency of low-quality FFPE samples and enables us to maximize the capture of unique DNA molecules, which are used to make up the sequencing library. This technology improves by approximately 80% the library conversion and library complexity</w:t>
      </w:r>
      <w:r>
        <w:rPr>
          <w:rFonts w:ascii="Arial" w:cs="Arial" w:eastAsia="Arial" w:hAnsi="Arial"/>
          <w:sz w:val="18"/>
          <w:szCs w:val="18"/>
          <w:i w:val="1"/>
          <w:iCs w:val="1"/>
          <w:color w:val="auto"/>
        </w:rPr>
        <w:t>—</w:t>
      </w:r>
      <w:r>
        <w:rPr>
          <w:rFonts w:ascii="Arial" w:cs="Arial" w:eastAsia="Arial" w:hAnsi="Arial"/>
          <w:sz w:val="18"/>
          <w:szCs w:val="18"/>
          <w:color w:val="auto"/>
        </w:rPr>
        <w:t>a measure of the number of unique DNA molecules present in a DNA library</w:t>
      </w:r>
      <w:r>
        <w:rPr>
          <w:rFonts w:ascii="Arial" w:cs="Arial" w:eastAsia="Arial" w:hAnsi="Arial"/>
          <w:sz w:val="18"/>
          <w:szCs w:val="18"/>
          <w:i w:val="1"/>
          <w:iCs w:val="1"/>
          <w:color w:val="auto"/>
        </w:rPr>
        <w:t>—</w:t>
      </w:r>
      <w:r>
        <w:rPr>
          <w:rFonts w:ascii="Arial" w:cs="Arial" w:eastAsia="Arial" w:hAnsi="Arial"/>
          <w:sz w:val="18"/>
          <w:szCs w:val="18"/>
          <w:color w:val="auto"/>
        </w:rPr>
        <w:t>of DNA libraries derived from FFPE samples, enabling us to work with low-quality FFPE samples. When applied to liquid biopsy ctDNA samples, our HS library preparation technology shows similar improvements in library complexity, enabling us to work with liquid biopsy ctDNA samples as small as 10-nanograms.</w:t>
      </w:r>
    </w:p>
    <w:p>
      <w:pPr>
        <w:spacing w:after="0" w:line="19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diagram below illustrates the significant improvements in complexity and overall quality of DNA libraries derived from clinical FFPE samples of different quality levels (from the highest level “A+” to the lowest level “C”) using our HS library preparation technology, each as compared with conventional library preparation methods: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205740</wp:posOffset>
            </wp:positionV>
            <wp:extent cx="3334385" cy="23660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3438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Comparison of FFPE DNA library complexity and quality at 500X raw depth</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diagram below illustrates the improvements (denoted as “after”) in library complexity of liquid biopsy ctDNA samples achieved using our HS library preparation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-19050</wp:posOffset>
            </wp:positionV>
            <wp:extent cx="3326130" cy="1885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2613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Liquid Biopsy Technologies—Enabling Super-High Sensitivity in ctDNA Samples Through Signal-Noise Ratio Enhancement</w:t>
      </w:r>
    </w:p>
    <w:p>
      <w:pPr>
        <w:spacing w:after="0" w:line="23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Compared to tissue biopsies, NGS-based ctDNA liquid biopsies require higher technological capabilities and expertise because of the low concentrations of ctDNA in liquid biopsy samples. In addition to our HS technology, we have also developed our UMI technology and corresponding bioinformatics, which improve the signal detection and noise control capabilities of our liquid biopsy-based tests and accurately distinguish true origin of DNA fragments from those that are duplicated, contaminated, erroneous or otherwise irrelevant. These technologies increase test sensitivity and lower our ctDNA detection limit by five to ten times to 0.1% or lower, which significantly enhances the accuracy of our liquid biopsy-based tests.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diagram below illustrates the noise reduction achieved by applying our UMI technology in ctDNA sample library preparation: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205740</wp:posOffset>
            </wp:positionV>
            <wp:extent cx="3917315" cy="25203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91731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MSI Calling Algorithms—World-Class NGS-Based Algorithms Detecting MSI in Tissue and Liquid Biopsies</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Polymerase chain reaction-, or PCR-, based methods have been the conventional method for detecting microsatellite instability, or MSI, an important biomarker for immune-oncology treatment selection. We have developed proprietary NGS-based MSI calling algorithms, prettyMSI and bMSISEA, which enable our tests to accurately detect the presence of MSI in tissue and ctDNA samples, respectively. By incorporating these algorithms, our tissue and liquid biopsy-based tests provide patients a one-stop, cost-effective solution for the detection of genomic alterations of targeted genes and MSI in a single test. According to CIC, our MSI calling algorithms have higher sensitivity than substantially all other published MSI algorithms.</w:t>
      </w:r>
    </w:p>
    <w:p>
      <w:pPr>
        <w:spacing w:after="0" w:line="19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2018, our prettyMSI algorithm was clinically validated in an MSI detection study with the results published in a 2018 March Journal of Molecular Diagnostics article “</w:t>
      </w:r>
      <w:r>
        <w:rPr>
          <w:rFonts w:ascii="Arial" w:cs="Arial" w:eastAsia="Arial" w:hAnsi="Arial"/>
          <w:sz w:val="16"/>
          <w:szCs w:val="16"/>
          <w:i w:val="1"/>
          <w:iCs w:val="1"/>
          <w:color w:val="auto"/>
        </w:rPr>
        <w:t>A novel and reliable method to detect microsatellite instability in colorectal cancer by next-generation sequencing</w:t>
      </w:r>
      <w:r>
        <w:rPr>
          <w:rFonts w:ascii="Arial" w:cs="Arial" w:eastAsia="Arial" w:hAnsi="Arial"/>
          <w:sz w:val="16"/>
          <w:szCs w:val="16"/>
          <w:color w:val="auto"/>
        </w:rPr>
        <w:t>.” In 2020, our bMSISEA algorithm was clinically validated in an MSI detection study, the result of which will be published in an article titled “</w:t>
      </w:r>
      <w:r>
        <w:rPr>
          <w:rFonts w:ascii="Arial" w:cs="Arial" w:eastAsia="Arial" w:hAnsi="Arial"/>
          <w:sz w:val="16"/>
          <w:szCs w:val="16"/>
          <w:i w:val="1"/>
          <w:iCs w:val="1"/>
          <w:color w:val="auto"/>
        </w:rPr>
        <w:t>Detection of</w:t>
      </w:r>
      <w:r>
        <w:rPr>
          <w:rFonts w:ascii="Arial" w:cs="Arial" w:eastAsia="Arial" w:hAnsi="Arial"/>
          <w:sz w:val="16"/>
          <w:szCs w:val="16"/>
          <w:color w:val="auto"/>
        </w:rPr>
        <w:t xml:space="preserve"> </w:t>
      </w:r>
      <w:r>
        <w:rPr>
          <w:rFonts w:ascii="Arial" w:cs="Arial" w:eastAsia="Arial" w:hAnsi="Arial"/>
          <w:sz w:val="16"/>
          <w:szCs w:val="16"/>
          <w:i w:val="1"/>
          <w:iCs w:val="1"/>
          <w:color w:val="auto"/>
        </w:rPr>
        <w:t>microsatellite instability from circulating tumor DNA by targeted deep sequencing</w:t>
      </w:r>
      <w:r>
        <w:rPr>
          <w:rFonts w:ascii="Arial" w:cs="Arial" w:eastAsia="Arial" w:hAnsi="Arial"/>
          <w:sz w:val="16"/>
          <w:szCs w:val="16"/>
          <w:color w:val="auto"/>
        </w:rPr>
        <w:t>”, that has been submitted to and accepted by the same journal.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2019, one of our products using the prettyMSI algorithm was endorsed and recommended in </w:t>
      </w:r>
      <w:r>
        <w:rPr>
          <w:rFonts w:ascii="Arial" w:cs="Arial" w:eastAsia="Arial" w:hAnsi="Arial"/>
          <w:sz w:val="16"/>
          <w:szCs w:val="16"/>
          <w:i w:val="1"/>
          <w:iCs w:val="1"/>
          <w:color w:val="auto"/>
        </w:rPr>
        <w:t>Chinese Experts Consensus on MSI testing</w:t>
      </w:r>
      <w:r>
        <w:rPr>
          <w:rFonts w:ascii="Arial" w:cs="Arial" w:eastAsia="Arial" w:hAnsi="Arial"/>
          <w:sz w:val="16"/>
          <w:szCs w:val="16"/>
          <w:color w:val="auto"/>
        </w:rPr>
        <w: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Automated NGS Library Preparation System—Enabling Automation and Standardization of In-Hospital Laboratories</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Hospitals in China generally lack the expertise necessary to conduct NGS-based cancer therapy selection. In addition, the conventional process flows that most Chinese hospitals use not only make the testing process time consuming, but also introduce contamination risk in the library preparation stage, which reduces testing accuracy. We have been a pioneer in helping Chinese hospitals address these challenges, and in September 2019, we launched Magnis BR, China’s first and only capture-based fully automated NGS library preparation system, and associated library preparation reagents, which we co-developed with Agilent. Magnis BR and its associated reagents are particularly suitable for Chinese hospitals because they fully automate the NGS library preparation process, converting DNA samples into sequencing-ready libraries in around nine hours. Magnis BR can process 112 samples per week. We presented the analytical validation data of Magnis BR at the Association for Molecular Pathology (AMP) 2020 annual meeting in a platform presentation.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Early Cancer Detection Technologies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2016, we started our research and development on the use of targeted DNA methylation in early cancer detection. Early cancer detection can substantially increase the chances of successful treatment, and accordingly presents enormous market opportunities. However, it is extremely difficult to develop liquid biopsy-based early cancer detection tests with the sensitivity and specificity needed for the tests to be clinically useful. To effectively address the technical challenges of early cancer detection, we have developed targeted DNA methylation-based library preparation technologies and bioinformatics that sensitively detect extremely low circulating levels of cancer biomarkers by enhancing the signal-to-noise ratio on the most informative cancer-associated methylation loci and blocks, facilitating the accurate early detection of multiple cancers.</w:t>
      </w:r>
    </w:p>
    <w:p>
      <w:pPr>
        <w:spacing w:after="0" w:line="178" w:lineRule="exact"/>
        <w:rPr>
          <w:sz w:val="20"/>
          <w:szCs w:val="20"/>
          <w:color w:val="auto"/>
        </w:rPr>
      </w:pPr>
    </w:p>
    <w:p>
      <w:pPr>
        <w:ind w:left="120" w:right="620" w:firstLine="440"/>
        <w:spacing w:after="0" w:line="258" w:lineRule="auto"/>
        <w:rPr>
          <w:sz w:val="20"/>
          <w:szCs w:val="20"/>
          <w:color w:val="auto"/>
        </w:rPr>
      </w:pPr>
      <w:r>
        <w:rPr>
          <w:rFonts w:ascii="Arial" w:cs="Arial" w:eastAsia="Arial" w:hAnsi="Arial"/>
          <w:sz w:val="18"/>
          <w:szCs w:val="18"/>
          <w:color w:val="auto"/>
        </w:rPr>
        <w:t>We have built on our technology platform to develop proprietary technologies for early cancer detection using analysis of change in DNA methylation, a promising biomarker associated with the initiation of certain cancers. BrELSA</w:t>
      </w:r>
      <w:r>
        <w:rPr>
          <w:rFonts w:ascii="Arial" w:cs="Arial" w:eastAsia="Arial" w:hAnsi="Arial"/>
          <w:sz w:val="15"/>
          <w:szCs w:val="15"/>
          <w:color w:val="auto"/>
        </w:rPr>
        <w:t>TM</w:t>
      </w:r>
      <w:r>
        <w:rPr>
          <w:rFonts w:ascii="Arial" w:cs="Arial" w:eastAsia="Arial" w:hAnsi="Arial"/>
          <w:sz w:val="18"/>
          <w:szCs w:val="18"/>
          <w:color w:val="auto"/>
        </w:rPr>
        <w:t xml:space="preserve"> is our proprietary</w:t>
      </w:r>
    </w:p>
    <w:p>
      <w:pPr>
        <w:spacing w:after="0" w:line="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targeted DNA-methylation-based library preparation technology for early cancer detection. It significantly increases the conversion rate, and maximizes the preservation, of sequenceable DNA fragments; it also ensures that the methylation sites of pathogenic significance are captured. These capabilities allow us to prepare sequenceable libraries using liquid biopsy samples as small as 5 to 10 milligrams. We also use targeted DNA methylation reinforced malignancy non-invasive detection, or brMERMAID</w:t>
      </w:r>
      <w:r>
        <w:rPr>
          <w:rFonts w:ascii="Arial" w:cs="Arial" w:eastAsia="Arial" w:hAnsi="Arial"/>
          <w:sz w:val="14"/>
          <w:szCs w:val="14"/>
          <w:color w:val="auto"/>
        </w:rPr>
        <w:t>TM</w:t>
      </w:r>
      <w:r>
        <w:rPr>
          <w:rFonts w:ascii="Arial" w:cs="Arial" w:eastAsia="Arial" w:hAnsi="Arial"/>
          <w:sz w:val="17"/>
          <w:szCs w:val="17"/>
          <w:color w:val="auto"/>
        </w:rPr>
        <w:t>, our proprietary bioinformatics and statistical algorithm for the early detection of multiple types of cancers. We train brMERMAID</w:t>
      </w:r>
      <w:r>
        <w:rPr>
          <w:rFonts w:ascii="Arial" w:cs="Arial" w:eastAsia="Arial" w:hAnsi="Arial"/>
          <w:sz w:val="14"/>
          <w:szCs w:val="14"/>
          <w:color w:val="auto"/>
        </w:rPr>
        <w:t>TM</w:t>
      </w:r>
      <w:r>
        <w:rPr>
          <w:rFonts w:ascii="Arial" w:cs="Arial" w:eastAsia="Arial" w:hAnsi="Arial"/>
          <w:sz w:val="17"/>
          <w:szCs w:val="17"/>
          <w:color w:val="auto"/>
        </w:rPr>
        <w:t xml:space="preserve"> with real world clinical samples and its machine learning capability enables continuous performance improvements as it incorporates data from additional clinical samples. The combination of brELSA</w:t>
      </w:r>
      <w:r>
        <w:rPr>
          <w:rFonts w:ascii="Arial" w:cs="Arial" w:eastAsia="Arial" w:hAnsi="Arial"/>
          <w:sz w:val="14"/>
          <w:szCs w:val="14"/>
          <w:color w:val="auto"/>
        </w:rPr>
        <w:t>TM</w:t>
      </w:r>
      <w:r>
        <w:rPr>
          <w:rFonts w:ascii="Arial" w:cs="Arial" w:eastAsia="Arial" w:hAnsi="Arial"/>
          <w:sz w:val="17"/>
          <w:szCs w:val="17"/>
          <w:color w:val="auto"/>
        </w:rPr>
        <w:t xml:space="preserve"> and brMERMAID</w:t>
      </w:r>
      <w:r>
        <w:rPr>
          <w:rFonts w:ascii="Arial" w:cs="Arial" w:eastAsia="Arial" w:hAnsi="Arial"/>
          <w:sz w:val="14"/>
          <w:szCs w:val="14"/>
          <w:color w:val="auto"/>
        </w:rPr>
        <w:t>TM</w:t>
      </w:r>
      <w:r>
        <w:rPr>
          <w:rFonts w:ascii="Arial" w:cs="Arial" w:eastAsia="Arial" w:hAnsi="Arial"/>
          <w:sz w:val="17"/>
          <w:szCs w:val="17"/>
          <w:color w:val="auto"/>
        </w:rPr>
        <w:t xml:space="preserve"> enables highly sensitive, accurate and robust early cancer detection results that are on par with global leaders.</w:t>
      </w:r>
    </w:p>
    <w:p>
      <w:pPr>
        <w:spacing w:after="0" w:line="18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At the American Association of Cancer Research (AACR) Annual Meeting 2019, we presented a poster that demonstrated the data of early detection of lung cancer using our methylation profiling method combining brELSA</w:t>
      </w:r>
      <w:r>
        <w:rPr>
          <w:rFonts w:ascii="Arial" w:cs="Arial" w:eastAsia="Arial" w:hAnsi="Arial"/>
          <w:sz w:val="14"/>
          <w:szCs w:val="14"/>
          <w:color w:val="auto"/>
        </w:rPr>
        <w:t>TM</w:t>
      </w:r>
      <w:r>
        <w:rPr>
          <w:rFonts w:ascii="Arial" w:cs="Arial" w:eastAsia="Arial" w:hAnsi="Arial"/>
          <w:sz w:val="17"/>
          <w:szCs w:val="17"/>
          <w:color w:val="auto"/>
        </w:rPr>
        <w:t xml:space="preserve"> and brMERMAID</w:t>
      </w:r>
      <w:r>
        <w:rPr>
          <w:rFonts w:ascii="Arial" w:cs="Arial" w:eastAsia="Arial" w:hAnsi="Arial"/>
          <w:sz w:val="14"/>
          <w:szCs w:val="14"/>
          <w:color w:val="auto"/>
        </w:rPr>
        <w:t>TM</w:t>
      </w:r>
      <w:r>
        <w:rPr>
          <w:rFonts w:ascii="Arial" w:cs="Arial" w:eastAsia="Arial" w:hAnsi="Arial"/>
          <w:sz w:val="17"/>
          <w:szCs w:val="17"/>
          <w:color w:val="auto"/>
        </w:rPr>
        <w:t>. In the Special Conference on Advances in Liquid Biopsies hosted by AACR in 2020, we presented our data regarding early detection of lung, colorectal and liver cancers with brELSA</w:t>
      </w:r>
      <w:r>
        <w:rPr>
          <w:rFonts w:ascii="Arial" w:cs="Arial" w:eastAsia="Arial" w:hAnsi="Arial"/>
          <w:sz w:val="14"/>
          <w:szCs w:val="14"/>
          <w:color w:val="auto"/>
        </w:rPr>
        <w:t>TM</w:t>
      </w:r>
      <w:r>
        <w:rPr>
          <w:rFonts w:ascii="Arial" w:cs="Arial" w:eastAsia="Arial" w:hAnsi="Arial"/>
          <w:sz w:val="17"/>
          <w:szCs w:val="17"/>
          <w:color w:val="auto"/>
        </w:rPr>
        <w:t xml:space="preserve"> and brMERMAID</w:t>
      </w:r>
      <w:r>
        <w:rPr>
          <w:rFonts w:ascii="Arial" w:cs="Arial" w:eastAsia="Arial" w:hAnsi="Arial"/>
          <w:sz w:val="14"/>
          <w:szCs w:val="14"/>
          <w:color w:val="auto"/>
        </w:rPr>
        <w:t>TM</w:t>
      </w:r>
      <w:r>
        <w:rPr>
          <w:rFonts w:ascii="Arial" w:cs="Arial" w:eastAsia="Arial" w:hAnsi="Arial"/>
          <w:sz w:val="17"/>
          <w:szCs w:val="17"/>
          <w:color w:val="auto"/>
        </w:rPr>
        <w:t xml:space="preserve"> in a poster titled “</w:t>
      </w:r>
      <w:r>
        <w:rPr>
          <w:rFonts w:ascii="Arial" w:cs="Arial" w:eastAsia="Arial" w:hAnsi="Arial"/>
          <w:sz w:val="17"/>
          <w:szCs w:val="17"/>
          <w:i w:val="1"/>
          <w:iCs w:val="1"/>
          <w:color w:val="auto"/>
        </w:rPr>
        <w:t>Multiplatform analysis of early-stage cancer signatures in blood</w:t>
      </w:r>
      <w:r>
        <w:rPr>
          <w:rFonts w:ascii="Arial" w:cs="Arial" w:eastAsia="Arial" w:hAnsi="Arial"/>
          <w:sz w:val="17"/>
          <w:szCs w:val="17"/>
          <w:color w:val="auto"/>
        </w:rPr>
        <w:t>.” At the AACR Virtual Annual Meeting II, we presented our new data regarding early detection of ovarian cancer in a poster titled “</w:t>
      </w:r>
      <w:r>
        <w:rPr>
          <w:rFonts w:ascii="Arial" w:cs="Arial" w:eastAsia="Arial" w:hAnsi="Arial"/>
          <w:sz w:val="17"/>
          <w:szCs w:val="17"/>
          <w:i w:val="1"/>
          <w:iCs w:val="1"/>
          <w:color w:val="auto"/>
        </w:rPr>
        <w:t>Methylation profiling of circulating tumor DNA for the detection of</w:t>
      </w:r>
      <w:r>
        <w:rPr>
          <w:rFonts w:ascii="Arial" w:cs="Arial" w:eastAsia="Arial" w:hAnsi="Arial"/>
          <w:sz w:val="17"/>
          <w:szCs w:val="17"/>
          <w:color w:val="auto"/>
        </w:rPr>
        <w:t xml:space="preserve"> </w:t>
      </w:r>
      <w:r>
        <w:rPr>
          <w:rFonts w:ascii="Arial" w:cs="Arial" w:eastAsia="Arial" w:hAnsi="Arial"/>
          <w:sz w:val="17"/>
          <w:szCs w:val="17"/>
          <w:i w:val="1"/>
          <w:iCs w:val="1"/>
          <w:color w:val="auto"/>
        </w:rPr>
        <w:t>ovarian cancer</w:t>
      </w:r>
      <w:r>
        <w:rPr>
          <w:rFonts w:ascii="Arial" w:cs="Arial" w:eastAsia="Arial" w:hAnsi="Arial"/>
          <w:sz w:val="17"/>
          <w:szCs w:val="17"/>
          <w:color w:val="auto"/>
        </w:rPr>
        <w:t>.” At the European Society for Medical Oncology (ESMO) Asia Virtual Congress 2020, we presented our new data regarding early</w:t>
      </w:r>
      <w:r>
        <w:rPr>
          <w:rFonts w:ascii="Arial" w:cs="Arial" w:eastAsia="Arial" w:hAnsi="Arial"/>
          <w:sz w:val="17"/>
          <w:szCs w:val="17"/>
          <w:i w:val="1"/>
          <w:iCs w:val="1"/>
          <w:color w:val="auto"/>
        </w:rPr>
        <w:t xml:space="preserve"> </w:t>
      </w:r>
      <w:r>
        <w:rPr>
          <w:rFonts w:ascii="Arial" w:cs="Arial" w:eastAsia="Arial" w:hAnsi="Arial"/>
          <w:sz w:val="17"/>
          <w:szCs w:val="17"/>
          <w:color w:val="auto"/>
        </w:rPr>
        <w:t>detection of lung, colorectal, liver, ovarian, pancreatic, and esophageal cancers in a presentation titled “</w:t>
      </w:r>
      <w:r>
        <w:rPr>
          <w:rFonts w:ascii="Arial" w:cs="Arial" w:eastAsia="Arial" w:hAnsi="Arial"/>
          <w:sz w:val="17"/>
          <w:szCs w:val="17"/>
          <w:i w:val="1"/>
          <w:iCs w:val="1"/>
          <w:color w:val="auto"/>
        </w:rPr>
        <w:t>Early detection and localization of multiple</w:t>
      </w:r>
      <w:r>
        <w:rPr>
          <w:rFonts w:ascii="Arial" w:cs="Arial" w:eastAsia="Arial" w:hAnsi="Arial"/>
          <w:sz w:val="17"/>
          <w:szCs w:val="17"/>
          <w:color w:val="auto"/>
        </w:rPr>
        <w:t xml:space="preserve"> </w:t>
      </w:r>
      <w:r>
        <w:rPr>
          <w:rFonts w:ascii="Arial" w:cs="Arial" w:eastAsia="Arial" w:hAnsi="Arial"/>
          <w:sz w:val="17"/>
          <w:szCs w:val="17"/>
          <w:i w:val="1"/>
          <w:iCs w:val="1"/>
          <w:color w:val="auto"/>
        </w:rPr>
        <w:t>cancers using a blood-based methylation assay (ELSA-seq)</w:t>
      </w:r>
      <w:r>
        <w:rPr>
          <w:rFonts w:ascii="Arial" w:cs="Arial" w:eastAsia="Arial" w:hAnsi="Arial"/>
          <w:sz w:val="17"/>
          <w:szCs w:val="17"/>
          <w:color w:val="auto"/>
        </w:rPr>
        <w: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diagram below illustrates our early cancer detection workflow incorporating brELSA</w:t>
      </w:r>
      <w:r>
        <w:rPr>
          <w:rFonts w:ascii="Arial" w:cs="Arial" w:eastAsia="Arial" w:hAnsi="Arial"/>
          <w:sz w:val="15"/>
          <w:szCs w:val="15"/>
          <w:color w:val="auto"/>
        </w:rPr>
        <w:t>TM</w:t>
      </w:r>
      <w:r>
        <w:rPr>
          <w:rFonts w:ascii="Arial" w:cs="Arial" w:eastAsia="Arial" w:hAnsi="Arial"/>
          <w:sz w:val="18"/>
          <w:szCs w:val="18"/>
          <w:color w:val="auto"/>
        </w:rPr>
        <w:t xml:space="preserve"> and brMERMAID</w:t>
      </w:r>
      <w:r>
        <w:rPr>
          <w:rFonts w:ascii="Arial" w:cs="Arial" w:eastAsia="Arial" w:hAnsi="Arial"/>
          <w:sz w:val="15"/>
          <w:szCs w:val="15"/>
          <w:color w:val="auto"/>
        </w:rPr>
        <w:t>TM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332105</wp:posOffset>
            </wp:positionV>
            <wp:extent cx="3720465" cy="29317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2046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b w:val="1"/>
          <w:bCs w:val="1"/>
          <w:i w:val="1"/>
          <w:iCs w:val="1"/>
          <w:color w:val="auto"/>
        </w:rPr>
        <w:t>Step (A) Sample preparation</w:t>
      </w:r>
      <w:r>
        <w:rPr>
          <w:rFonts w:ascii="Arial" w:cs="Arial" w:eastAsia="Arial" w:hAnsi="Arial"/>
          <w:sz w:val="18"/>
          <w:szCs w:val="18"/>
          <w:color w:val="auto"/>
        </w:rPr>
        <w:t>: 8-10 ml of venous blood is collected and processed to isolate circulating cell-free DNA, or cfDNA, which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cancer biomarker.</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Step (B) Automated whole-methylome amplification</w:t>
      </w:r>
      <w:r>
        <w:rPr>
          <w:rFonts w:ascii="Arial" w:cs="Arial" w:eastAsia="Arial" w:hAnsi="Arial"/>
          <w:sz w:val="18"/>
          <w:szCs w:val="18"/>
          <w:color w:val="auto"/>
        </w:rPr>
        <w:t>: DNA Libraries are prepared using a method called whole methylome bisulfite sequencing,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WGBS, in an automated way. WGBS is a widely used method to profile the methylation landscape of the whole genome. The detailed sub-steps are shown in the center of the above diagram.</w:t>
      </w:r>
    </w:p>
    <w:p>
      <w:pPr>
        <w:spacing w:after="0" w:line="184"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b w:val="1"/>
          <w:bCs w:val="1"/>
          <w:i w:val="1"/>
          <w:iCs w:val="1"/>
          <w:color w:val="auto"/>
        </w:rPr>
        <w:t>Step (C) Deep sequencing of cancer-associated markers</w:t>
      </w:r>
      <w:r>
        <w:rPr>
          <w:rFonts w:ascii="Arial" w:cs="Arial" w:eastAsia="Arial" w:hAnsi="Arial"/>
          <w:sz w:val="16"/>
          <w:szCs w:val="16"/>
          <w:color w:val="auto"/>
        </w:rPr>
        <w:t>: Probes are used to capture the specific genomic regions associated with common types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cancer, and the captured regions are then sequenced at high depth. The detailed sub-steps are shown in the center of the above diagram.</w:t>
      </w:r>
    </w:p>
    <w:p>
      <w:pPr>
        <w:spacing w:after="0" w:line="12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b w:val="1"/>
          <w:bCs w:val="1"/>
          <w:i w:val="1"/>
          <w:iCs w:val="1"/>
          <w:color w:val="auto"/>
        </w:rPr>
        <w:t>Step (D) Pattern recognition &amp; noise suppression</w:t>
      </w:r>
      <w:r>
        <w:rPr>
          <w:rFonts w:ascii="Arial" w:cs="Arial" w:eastAsia="Arial" w:hAnsi="Arial"/>
          <w:sz w:val="18"/>
          <w:szCs w:val="18"/>
          <w:color w:val="auto"/>
        </w:rPr>
        <w:t>: After the methylation changes are detected, statistical algorithms are used to differentiate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signals from noise in the sequencing data and the signals are then categorized into specific patterns.</w:t>
      </w:r>
    </w:p>
    <w:p>
      <w:pPr>
        <w:spacing w:after="0" w:line="170"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b w:val="1"/>
          <w:bCs w:val="1"/>
          <w:i w:val="1"/>
          <w:iCs w:val="1"/>
          <w:color w:val="auto"/>
        </w:rPr>
        <w:t>Step (E) Machine learning for sparse matrices</w:t>
      </w:r>
      <w:r>
        <w:rPr>
          <w:rFonts w:ascii="Arial" w:cs="Arial" w:eastAsia="Arial" w:hAnsi="Arial"/>
          <w:sz w:val="18"/>
          <w:szCs w:val="18"/>
          <w:color w:val="auto"/>
        </w:rPr>
        <w:t>: An algorithm is built to differentiate tumor samples from normal samples. This algorithm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combines numerous random and scarce methylation patterns to address challenges arising from low circulating levels of tumor DNA in early-stage cancer patients.</w:t>
      </w:r>
    </w:p>
    <w:p>
      <w:pPr>
        <w:spacing w:after="0" w:line="18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graphs below show that our brELSA</w:t>
      </w:r>
      <w:r>
        <w:rPr>
          <w:rFonts w:ascii="Arial" w:cs="Arial" w:eastAsia="Arial" w:hAnsi="Arial"/>
          <w:sz w:val="15"/>
          <w:szCs w:val="15"/>
          <w:color w:val="auto"/>
        </w:rPr>
        <w:t>TM</w:t>
      </w:r>
      <w:r>
        <w:rPr>
          <w:rFonts w:ascii="Arial" w:cs="Arial" w:eastAsia="Arial" w:hAnsi="Arial"/>
          <w:sz w:val="18"/>
          <w:szCs w:val="18"/>
          <w:color w:val="auto"/>
        </w:rPr>
        <w:t xml:space="preserve"> technology enables higher recovery of circulating DNA in library preparation and sequencing as compared to two commercially available kits. The high recovery rate and deep sequencing of targeted methylated region facilitates the ultra-high detection sensitivity, with the limit of detection as low as 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2388870</wp:posOffset>
            </wp:positionV>
            <wp:extent cx="77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142875</wp:posOffset>
            </wp:positionV>
            <wp:extent cx="3883025" cy="18427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8302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0" w:hanging="424"/>
        <w:spacing w:after="0" w:line="25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graph shows the unique read depth (Y-axis) observed with different quantities of DNA input (X-axis) of E.coli (DH5a)—a type of bacteria used in labs worldwide as a host for DNA sequences, using brELSATM and two commercially available kits when sequenced to ~ 2,000X median depth. It shows that brELSATM’s unique read depth is consistently higher than the other two kits, which in turn enables higher recovery of circulating DNA in library preparation and sequencing.</w:t>
      </w:r>
    </w:p>
    <w:p>
      <w:pPr>
        <w:spacing w:after="0" w:line="2" w:lineRule="exact"/>
        <w:rPr>
          <w:rFonts w:ascii="Arial" w:cs="Arial" w:eastAsia="Arial" w:hAnsi="Arial"/>
          <w:sz w:val="18"/>
          <w:szCs w:val="18"/>
          <w:color w:val="auto"/>
        </w:rPr>
      </w:pPr>
    </w:p>
    <w:p>
      <w:pPr>
        <w:ind w:left="540" w:hanging="424"/>
        <w:spacing w:after="0" w:line="271"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x-axis denotes cell lines with various known proportions of methylation sites, with the exact proportion numbers (from 0.00000, or 0.000% to 0.05, or 5%) as indicated in the box on the right; the y-axis denotes the percentage of methylation sites being recognized as positive using brELSA</w:t>
      </w:r>
      <w:r>
        <w:rPr>
          <w:rFonts w:ascii="Arial" w:cs="Arial" w:eastAsia="Arial" w:hAnsi="Arial"/>
          <w:sz w:val="14"/>
          <w:szCs w:val="14"/>
          <w:color w:val="auto"/>
        </w:rPr>
        <w:t>™</w:t>
      </w:r>
      <w:r>
        <w:rPr>
          <w:rFonts w:ascii="Arial" w:cs="Arial" w:eastAsia="Arial" w:hAnsi="Arial"/>
          <w:sz w:val="17"/>
          <w:szCs w:val="17"/>
          <w:color w:val="auto"/>
        </w:rPr>
        <w:t>. This graph demonstrates that even for the most signal-scarce sample—0.00001 (0.001%) tumor cell DNA shown as the yellow bar in the graph—the overall sample can still be recognized as positive, as indicated by the three asterisks in the graph. This result shows that brELSA</w:t>
      </w:r>
      <w:r>
        <w:rPr>
          <w:rFonts w:ascii="Arial" w:cs="Arial" w:eastAsia="Arial" w:hAnsi="Arial"/>
          <w:sz w:val="14"/>
          <w:szCs w:val="14"/>
          <w:color w:val="auto"/>
        </w:rPr>
        <w:t>™</w:t>
      </w:r>
      <w:r>
        <w:rPr>
          <w:rFonts w:ascii="Arial" w:cs="Arial" w:eastAsia="Arial" w:hAnsi="Arial"/>
          <w:sz w:val="17"/>
          <w:szCs w:val="17"/>
          <w:color w:val="auto"/>
        </w:rPr>
        <w:t xml:space="preserve"> has ultra-high detection sensitivity, with a limit of detection as low as 0.001%.</w:t>
      </w:r>
    </w:p>
    <w:p>
      <w:pPr>
        <w:spacing w:after="0" w:line="17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plan to upgrade our 3-cancer early cancer detection test that detects lung, intestinal and liver cancers to a 6-cancer test that detects lung, colorectal, liver, ovarian, pancreatic and esophageal cancers, and ultimately to a pan-cancer test, with improved accuracy in determining the origin of tissue compared to the 3-cancer test. The table below sets forth the sensitivity of our 6-cancer test for the detection of stage I-IV lung, colorectal, liver, ovarian, pancreatic and esophageal cancers at 98.3% specificity: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205740</wp:posOffset>
            </wp:positionV>
            <wp:extent cx="3720465" cy="17316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2046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We have started the development and analytical validation for our pan-cancer test, including to initiate a prospective, multi-center study, the PREDICT (Pan-CanceR Early DetectIon ProjeCT) study to further develop and validate our pan-cancer early detection test.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Products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primarily offer 12 NGS-based tissue and liquid biopsy cancer therapy selection tests, catering to different clinical and affordability needs of the different cancer patient segments.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12 key tests we currently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168910</wp:posOffset>
            </wp:positionV>
            <wp:extent cx="4585970" cy="2966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8597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OncoCompass</w:t>
      </w:r>
      <w:r>
        <w:rPr>
          <w:rFonts w:ascii="Arial" w:cs="Arial" w:eastAsia="Arial" w:hAnsi="Arial"/>
          <w:sz w:val="15"/>
          <w:szCs w:val="15"/>
          <w:b w:val="1"/>
          <w:bCs w:val="1"/>
          <w:i w:val="1"/>
          <w:iCs w:val="1"/>
          <w:color w:val="auto"/>
        </w:rPr>
        <w:t>TM</w:t>
      </w:r>
      <w:r>
        <w:rPr>
          <w:rFonts w:ascii="Arial" w:cs="Arial" w:eastAsia="Arial" w:hAnsi="Arial"/>
          <w:sz w:val="18"/>
          <w:szCs w:val="18"/>
          <w:b w:val="1"/>
          <w:bCs w:val="1"/>
          <w:i w:val="1"/>
          <w:iCs w:val="1"/>
          <w:color w:val="auto"/>
        </w:rPr>
        <w:t xml:space="preserve"> IO/OncoScreen</w:t>
      </w:r>
      <w:r>
        <w:rPr>
          <w:rFonts w:ascii="Arial" w:cs="Arial" w:eastAsia="Arial" w:hAnsi="Arial"/>
          <w:sz w:val="15"/>
          <w:szCs w:val="15"/>
          <w:b w:val="1"/>
          <w:bCs w:val="1"/>
          <w:i w:val="1"/>
          <w:iCs w:val="1"/>
          <w:color w:val="auto"/>
        </w:rPr>
        <w:t>TM</w:t>
      </w:r>
      <w:r>
        <w:rPr>
          <w:rFonts w:ascii="Arial" w:cs="Arial" w:eastAsia="Arial" w:hAnsi="Arial"/>
          <w:sz w:val="18"/>
          <w:szCs w:val="18"/>
          <w:b w:val="1"/>
          <w:bCs w:val="1"/>
          <w:i w:val="1"/>
          <w:iCs w:val="1"/>
          <w:color w:val="auto"/>
        </w:rPr>
        <w:t xml:space="preserve"> IO</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2015, we launched our pan-cancer test OncoScreen, which we upgraded to OncoScreen</w:t>
      </w:r>
      <w:r>
        <w:rPr>
          <w:rFonts w:ascii="Arial" w:cs="Arial" w:eastAsia="Arial" w:hAnsi="Arial"/>
          <w:sz w:val="15"/>
          <w:szCs w:val="15"/>
          <w:color w:val="auto"/>
        </w:rPr>
        <w:t>TM</w:t>
      </w:r>
      <w:r>
        <w:rPr>
          <w:rFonts w:ascii="Arial" w:cs="Arial" w:eastAsia="Arial" w:hAnsi="Arial"/>
          <w:sz w:val="18"/>
          <w:szCs w:val="18"/>
          <w:color w:val="auto"/>
        </w:rPr>
        <w:t xml:space="preserve"> IO, our pan-cancer test for tissue samples, and OncoCompass</w:t>
      </w:r>
      <w:r>
        <w:rPr>
          <w:rFonts w:ascii="Arial" w:cs="Arial" w:eastAsia="Arial" w:hAnsi="Arial"/>
          <w:sz w:val="15"/>
          <w:szCs w:val="15"/>
          <w:color w:val="auto"/>
        </w:rPr>
        <w:t>TM</w:t>
      </w:r>
      <w:r>
        <w:rPr>
          <w:rFonts w:ascii="Arial" w:cs="Arial" w:eastAsia="Arial" w:hAnsi="Arial"/>
          <w:sz w:val="18"/>
          <w:szCs w:val="18"/>
          <w:color w:val="auto"/>
        </w:rPr>
        <w:t xml:space="preserve"> IO, the corresponding test for liquid biopsy samples, in 2017. OncoScreen</w:t>
      </w:r>
      <w:r>
        <w:rPr>
          <w:rFonts w:ascii="Arial" w:cs="Arial" w:eastAsia="Arial" w:hAnsi="Arial"/>
          <w:sz w:val="15"/>
          <w:szCs w:val="15"/>
          <w:color w:val="auto"/>
        </w:rPr>
        <w:t>TM</w:t>
      </w:r>
      <w:r>
        <w:rPr>
          <w:rFonts w:ascii="Arial" w:cs="Arial" w:eastAsia="Arial" w:hAnsi="Arial"/>
          <w:sz w:val="18"/>
          <w:szCs w:val="18"/>
          <w:color w:val="auto"/>
        </w:rPr>
        <w:t xml:space="preserve"> IO and OncoCompass</w:t>
      </w:r>
      <w:r>
        <w:rPr>
          <w:rFonts w:ascii="Arial" w:cs="Arial" w:eastAsia="Arial" w:hAnsi="Arial"/>
          <w:sz w:val="15"/>
          <w:szCs w:val="15"/>
          <w:color w:val="auto"/>
        </w:rPr>
        <w:t>TM</w:t>
      </w:r>
      <w:r>
        <w:rPr>
          <w:rFonts w:ascii="Arial" w:cs="Arial" w:eastAsia="Arial" w:hAnsi="Arial"/>
          <w:sz w:val="18"/>
          <w:szCs w:val="18"/>
          <w:color w:val="auto"/>
        </w:rPr>
        <w:t xml:space="preserve"> IO reflect the latest developments in targeted therapy and immunotherapy. These tests profile 520 genes associated with most solid tumors, such as lung cancer, colorectal cancer, breast cancer, ovarian cancer, bladder cancer and prostate cancer, for which a targeted therapy has been approved by the FDA or NMPA or is in current clinical development. In addition to detecting the genomic alternations of the targeted genes, OncoScreen</w:t>
      </w:r>
      <w:r>
        <w:rPr>
          <w:rFonts w:ascii="Arial" w:cs="Arial" w:eastAsia="Arial" w:hAnsi="Arial"/>
          <w:sz w:val="15"/>
          <w:szCs w:val="15"/>
          <w:color w:val="auto"/>
        </w:rPr>
        <w:t>TM</w:t>
      </w:r>
      <w:r>
        <w:rPr>
          <w:rFonts w:ascii="Arial" w:cs="Arial" w:eastAsia="Arial" w:hAnsi="Arial"/>
          <w:sz w:val="18"/>
          <w:szCs w:val="18"/>
          <w:color w:val="auto"/>
        </w:rPr>
        <w:t xml:space="preserve"> IO and OncoCompass</w:t>
      </w:r>
      <w:r>
        <w:rPr>
          <w:rFonts w:ascii="Arial" w:cs="Arial" w:eastAsia="Arial" w:hAnsi="Arial"/>
          <w:sz w:val="15"/>
          <w:szCs w:val="15"/>
          <w:color w:val="auto"/>
        </w:rPr>
        <w:t>TM</w:t>
      </w:r>
      <w:r>
        <w:rPr>
          <w:rFonts w:ascii="Arial" w:cs="Arial" w:eastAsia="Arial" w:hAnsi="Arial"/>
          <w:sz w:val="18"/>
          <w:szCs w:val="18"/>
          <w:color w:val="auto"/>
        </w:rPr>
        <w:t xml:space="preserve"> IO also detect important immune-oncology biomarkers including TMB and MSI, as well as rare but clinically actionable biomarkers, such as NTRK fusions, which provide important insights for therapy selection. More than 30,000 samples have been tested through OncoScreen, OncoScreen</w:t>
      </w:r>
      <w:r>
        <w:rPr>
          <w:rFonts w:ascii="Arial" w:cs="Arial" w:eastAsia="Arial" w:hAnsi="Arial"/>
          <w:sz w:val="15"/>
          <w:szCs w:val="15"/>
          <w:color w:val="auto"/>
        </w:rPr>
        <w:t>TM</w:t>
      </w:r>
      <w:r>
        <w:rPr>
          <w:rFonts w:ascii="Arial" w:cs="Arial" w:eastAsia="Arial" w:hAnsi="Arial"/>
          <w:sz w:val="18"/>
          <w:szCs w:val="18"/>
          <w:color w:val="auto"/>
        </w:rPr>
        <w:t xml:space="preserve"> IO or OncoCompass</w:t>
      </w:r>
      <w:r>
        <w:rPr>
          <w:rFonts w:ascii="Arial" w:cs="Arial" w:eastAsia="Arial" w:hAnsi="Arial"/>
          <w:sz w:val="15"/>
          <w:szCs w:val="15"/>
          <w:color w:val="auto"/>
        </w:rPr>
        <w:t>TM</w:t>
      </w:r>
      <w:r>
        <w:rPr>
          <w:rFonts w:ascii="Arial" w:cs="Arial" w:eastAsia="Arial" w:hAnsi="Arial"/>
          <w:sz w:val="18"/>
          <w:szCs w:val="18"/>
          <w:color w:val="auto"/>
        </w:rPr>
        <w:t xml:space="preserve"> IO.</w:t>
      </w:r>
    </w:p>
    <w:p>
      <w:pPr>
        <w:sectPr>
          <w:pgSz w:w="11900" w:h="16838" w:orient="portrait"/>
          <w:cols w:equalWidth="0" w:num="1">
            <w:col w:w="11000"/>
          </w:cols>
          <w:pgMar w:left="320" w:top="459" w:right="579" w:bottom="1440" w:gutter="0" w:footer="0" w:header="0"/>
        </w:sectPr>
      </w:pP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000"/>
          </w:cols>
          <w:pgMar w:left="320" w:top="459" w:right="57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key specifications of OncoScreen</w:t>
      </w:r>
      <w:r>
        <w:rPr>
          <w:rFonts w:ascii="Arial" w:cs="Arial" w:eastAsia="Arial" w:hAnsi="Arial"/>
          <w:sz w:val="15"/>
          <w:szCs w:val="15"/>
          <w:color w:val="auto"/>
        </w:rPr>
        <w:t>TM</w:t>
      </w:r>
      <w:r>
        <w:rPr>
          <w:rFonts w:ascii="Arial" w:cs="Arial" w:eastAsia="Arial" w:hAnsi="Arial"/>
          <w:sz w:val="18"/>
          <w:szCs w:val="18"/>
          <w:color w:val="auto"/>
        </w:rPr>
        <w:t xml:space="preserve"> IO and OncoCompass</w:t>
      </w:r>
      <w:r>
        <w:rPr>
          <w:rFonts w:ascii="Arial" w:cs="Arial" w:eastAsia="Arial" w:hAnsi="Arial"/>
          <w:sz w:val="15"/>
          <w:szCs w:val="15"/>
          <w:color w:val="auto"/>
        </w:rPr>
        <w:t>TM</w:t>
      </w:r>
      <w:r>
        <w:rPr>
          <w:rFonts w:ascii="Arial" w:cs="Arial" w:eastAsia="Arial" w:hAnsi="Arial"/>
          <w:sz w:val="18"/>
          <w:szCs w:val="18"/>
          <w:color w:val="auto"/>
        </w:rPr>
        <w:t xml:space="preserve"> IO:</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OncoScreen</w:t>
            </w:r>
            <w:r>
              <w:rPr>
                <w:rFonts w:ascii="Arial" w:cs="Arial" w:eastAsia="Arial" w:hAnsi="Arial"/>
                <w:sz w:val="12"/>
                <w:szCs w:val="12"/>
                <w:b w:val="1"/>
                <w:bCs w:val="1"/>
                <w:color w:val="auto"/>
                <w:w w:val="96"/>
              </w:rPr>
              <w:t>TM</w:t>
            </w:r>
            <w:r>
              <w:rPr>
                <w:rFonts w:ascii="Arial" w:cs="Arial" w:eastAsia="Arial" w:hAnsi="Arial"/>
                <w:sz w:val="14"/>
                <w:szCs w:val="14"/>
                <w:b w:val="1"/>
                <w:bCs w:val="1"/>
                <w:color w:val="auto"/>
                <w:w w:val="96"/>
              </w:rPr>
              <w:t xml:space="preserve"> IO/</w:t>
            </w:r>
          </w:p>
        </w:tc>
        <w:tc>
          <w:tcPr>
            <w:tcW w:w="0" w:type="dxa"/>
            <w:vAlign w:val="bottom"/>
          </w:tcPr>
          <w:p>
            <w:pPr>
              <w:spacing w:after="0"/>
              <w:rPr>
                <w:sz w:val="1"/>
                <w:szCs w:val="1"/>
                <w:color w:val="auto"/>
              </w:rPr>
            </w:pPr>
          </w:p>
        </w:tc>
      </w:tr>
      <w:tr>
        <w:trPr>
          <w:trHeight w:val="148"/>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2"/>
              </w:rPr>
              <w:t>Product and Operational Specifications</w:t>
            </w:r>
          </w:p>
        </w:tc>
        <w:tc>
          <w:tcPr>
            <w:tcW w:w="3620" w:type="dxa"/>
            <w:vAlign w:val="bottom"/>
            <w:vMerge w:val="restart"/>
          </w:tcPr>
          <w:p>
            <w:pPr>
              <w:spacing w:after="0"/>
              <w:rPr>
                <w:sz w:val="12"/>
                <w:szCs w:val="12"/>
                <w:color w:val="auto"/>
              </w:rPr>
            </w:pPr>
          </w:p>
        </w:tc>
        <w:tc>
          <w:tcPr>
            <w:tcW w:w="14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OncoCompass</w:t>
            </w:r>
            <w:r>
              <w:rPr>
                <w:rFonts w:ascii="Arial" w:cs="Arial" w:eastAsia="Arial" w:hAnsi="Arial"/>
                <w:sz w:val="12"/>
                <w:szCs w:val="12"/>
                <w:b w:val="1"/>
                <w:bCs w:val="1"/>
                <w:color w:val="auto"/>
                <w:w w:val="94"/>
              </w:rPr>
              <w:t>TM</w:t>
            </w:r>
          </w:p>
        </w:tc>
        <w:tc>
          <w:tcPr>
            <w:tcW w:w="0" w:type="dxa"/>
            <w:vAlign w:val="bottom"/>
          </w:tcPr>
          <w:p>
            <w:pPr>
              <w:spacing w:after="0"/>
              <w:rPr>
                <w:sz w:val="1"/>
                <w:szCs w:val="1"/>
                <w:color w:val="auto"/>
              </w:rPr>
            </w:pPr>
          </w:p>
        </w:tc>
      </w:tr>
      <w:tr>
        <w:trPr>
          <w:trHeight w:val="178"/>
        </w:trPr>
        <w:tc>
          <w:tcPr>
            <w:tcW w:w="244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142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IO</w:t>
            </w:r>
          </w:p>
        </w:tc>
        <w:tc>
          <w:tcPr>
            <w:tcW w:w="0" w:type="dxa"/>
            <w:vAlign w:val="bottom"/>
          </w:tcPr>
          <w:p>
            <w:pPr>
              <w:spacing w:after="0"/>
              <w:rPr>
                <w:sz w:val="1"/>
                <w:szCs w:val="1"/>
                <w:color w:val="auto"/>
              </w:rPr>
            </w:pPr>
          </w:p>
        </w:tc>
      </w:tr>
      <w:tr>
        <w:trPr>
          <w:trHeight w:val="203"/>
        </w:trPr>
        <w:tc>
          <w:tcPr>
            <w:tcW w:w="6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Number of genes</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520</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Immunotherapy biomarkers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TMB, MSI</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 of detection (on hot-spot mutations)</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Maximum turnaround time</w:t>
            </w:r>
            <w:r>
              <w:rPr>
                <w:rFonts w:ascii="Arial" w:cs="Arial" w:eastAsia="Arial" w:hAnsi="Arial"/>
                <w:sz w:val="15"/>
                <w:szCs w:val="15"/>
                <w:color w:val="auto"/>
              </w:rPr>
              <w:t>(1)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 days</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clinical samples processed</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53,500</w:t>
            </w: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For the year ended December 31, 2020.</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Refers to the total number of samples tested through OncoScreen, OncoScreen</w:t>
      </w:r>
      <w:r>
        <w:rPr>
          <w:rFonts w:ascii="Arial" w:cs="Arial" w:eastAsia="Arial" w:hAnsi="Arial"/>
          <w:sz w:val="15"/>
          <w:szCs w:val="15"/>
          <w:color w:val="auto"/>
        </w:rPr>
        <w:t>TM</w:t>
      </w:r>
      <w:r>
        <w:rPr>
          <w:rFonts w:ascii="Arial" w:cs="Arial" w:eastAsia="Arial" w:hAnsi="Arial"/>
          <w:sz w:val="18"/>
          <w:szCs w:val="18"/>
          <w:color w:val="auto"/>
        </w:rPr>
        <w:t xml:space="preserve"> IO or OncoCompass</w:t>
      </w:r>
      <w:r>
        <w:rPr>
          <w:rFonts w:ascii="Arial" w:cs="Arial" w:eastAsia="Arial" w:hAnsi="Arial"/>
          <w:sz w:val="15"/>
          <w:szCs w:val="15"/>
          <w:color w:val="auto"/>
        </w:rPr>
        <w:t>TM</w:t>
      </w:r>
      <w:r>
        <w:rPr>
          <w:rFonts w:ascii="Arial" w:cs="Arial" w:eastAsia="Arial" w:hAnsi="Arial"/>
          <w:sz w:val="18"/>
          <w:szCs w:val="18"/>
          <w:color w:val="auto"/>
        </w:rPr>
        <w:t xml:space="preserve"> IO.</w:t>
      </w:r>
    </w:p>
    <w:p>
      <w:pPr>
        <w:spacing w:after="0" w:line="21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The design and performance of OncoScreen</w:t>
      </w:r>
      <w:r>
        <w:rPr>
          <w:rFonts w:ascii="Arial" w:cs="Arial" w:eastAsia="Arial" w:hAnsi="Arial"/>
          <w:sz w:val="14"/>
          <w:szCs w:val="14"/>
          <w:color w:val="auto"/>
        </w:rPr>
        <w:t>TM</w:t>
      </w:r>
      <w:r>
        <w:rPr>
          <w:rFonts w:ascii="Arial" w:cs="Arial" w:eastAsia="Arial" w:hAnsi="Arial"/>
          <w:sz w:val="17"/>
          <w:szCs w:val="17"/>
          <w:color w:val="auto"/>
        </w:rPr>
        <w:t xml:space="preserve"> IO and OncoCompass</w:t>
      </w:r>
      <w:r>
        <w:rPr>
          <w:rFonts w:ascii="Arial" w:cs="Arial" w:eastAsia="Arial" w:hAnsi="Arial"/>
          <w:sz w:val="14"/>
          <w:szCs w:val="14"/>
          <w:color w:val="auto"/>
        </w:rPr>
        <w:t>TM</w:t>
      </w:r>
      <w:r>
        <w:rPr>
          <w:rFonts w:ascii="Arial" w:cs="Arial" w:eastAsia="Arial" w:hAnsi="Arial"/>
          <w:sz w:val="17"/>
          <w:szCs w:val="17"/>
          <w:color w:val="auto"/>
        </w:rPr>
        <w:t xml:space="preserve"> IO has been endorsed by their adoption in over 20 clinical trials and studies. For example, OncoScreen</w:t>
      </w:r>
      <w:r>
        <w:rPr>
          <w:rFonts w:ascii="Arial" w:cs="Arial" w:eastAsia="Arial" w:hAnsi="Arial"/>
          <w:sz w:val="14"/>
          <w:szCs w:val="14"/>
          <w:color w:val="auto"/>
        </w:rPr>
        <w:t>TM</w:t>
      </w:r>
      <w:r>
        <w:rPr>
          <w:rFonts w:ascii="Arial" w:cs="Arial" w:eastAsia="Arial" w:hAnsi="Arial"/>
          <w:sz w:val="17"/>
          <w:szCs w:val="17"/>
          <w:color w:val="auto"/>
        </w:rPr>
        <w:t xml:space="preserve"> IO was selected by CStone in its Phase III clinical trial of CS1001—one of CStone’s core product candidates that targets PD-L1—to detect TMB, which can potentially identify the patients who may benefit from treatment of CS1001. Janssen, a subsidiary of Johnson &amp; Johnson, selected our OncoScreen</w:t>
      </w:r>
      <w:r>
        <w:rPr>
          <w:rFonts w:ascii="Arial" w:cs="Arial" w:eastAsia="Arial" w:hAnsi="Arial"/>
          <w:sz w:val="14"/>
          <w:szCs w:val="14"/>
          <w:color w:val="auto"/>
        </w:rPr>
        <w:t>TM</w:t>
      </w:r>
      <w:r>
        <w:rPr>
          <w:rFonts w:ascii="Arial" w:cs="Arial" w:eastAsia="Arial" w:hAnsi="Arial"/>
          <w:sz w:val="17"/>
          <w:szCs w:val="17"/>
          <w:color w:val="auto"/>
        </w:rPr>
        <w:t xml:space="preserve"> IO and OncoCompass</w:t>
      </w:r>
      <w:r>
        <w:rPr>
          <w:rFonts w:ascii="Arial" w:cs="Arial" w:eastAsia="Arial" w:hAnsi="Arial"/>
          <w:sz w:val="14"/>
          <w:szCs w:val="14"/>
          <w:color w:val="auto"/>
        </w:rPr>
        <w:t>TM</w:t>
      </w:r>
      <w:r>
        <w:rPr>
          <w:rFonts w:ascii="Arial" w:cs="Arial" w:eastAsia="Arial" w:hAnsi="Arial"/>
          <w:sz w:val="17"/>
          <w:szCs w:val="17"/>
          <w:color w:val="auto"/>
        </w:rPr>
        <w:t xml:space="preserve"> IO in a clinical study to conduct analysis of blood samples collected from patients with various kinds of advanced solid tumors. BeiGene also selected our OncoScreen</w:t>
      </w:r>
      <w:r>
        <w:rPr>
          <w:rFonts w:ascii="Arial" w:cs="Arial" w:eastAsia="Arial" w:hAnsi="Arial"/>
          <w:sz w:val="14"/>
          <w:szCs w:val="14"/>
          <w:color w:val="auto"/>
        </w:rPr>
        <w:t>TM</w:t>
      </w:r>
      <w:r>
        <w:rPr>
          <w:rFonts w:ascii="Arial" w:cs="Arial" w:eastAsia="Arial" w:hAnsi="Arial"/>
          <w:sz w:val="17"/>
          <w:szCs w:val="17"/>
          <w:color w:val="auto"/>
        </w:rPr>
        <w:t xml:space="preserve"> IO and OncoCompass</w:t>
      </w:r>
      <w:r>
        <w:rPr>
          <w:rFonts w:ascii="Arial" w:cs="Arial" w:eastAsia="Arial" w:hAnsi="Arial"/>
          <w:sz w:val="14"/>
          <w:szCs w:val="14"/>
          <w:color w:val="auto"/>
        </w:rPr>
        <w:t>TM</w:t>
      </w:r>
      <w:r>
        <w:rPr>
          <w:rFonts w:ascii="Arial" w:cs="Arial" w:eastAsia="Arial" w:hAnsi="Arial"/>
          <w:sz w:val="17"/>
          <w:szCs w:val="17"/>
          <w:color w:val="auto"/>
        </w:rPr>
        <w:t xml:space="preserve"> IO to detect TMB in its domestic and international clinical trials for its PD-1 drug candidate. OncoScreen</w:t>
      </w:r>
      <w:r>
        <w:rPr>
          <w:rFonts w:ascii="Arial" w:cs="Arial" w:eastAsia="Arial" w:hAnsi="Arial"/>
          <w:sz w:val="14"/>
          <w:szCs w:val="14"/>
          <w:color w:val="auto"/>
        </w:rPr>
        <w:t>TM</w:t>
      </w:r>
      <w:r>
        <w:rPr>
          <w:rFonts w:ascii="Arial" w:cs="Arial" w:eastAsia="Arial" w:hAnsi="Arial"/>
          <w:sz w:val="17"/>
          <w:szCs w:val="17"/>
          <w:color w:val="auto"/>
        </w:rPr>
        <w:t xml:space="preserve"> IO also participated in the FDA-initiated SEQC2 study for global tissue-based NGS assay comparison. OncoScreen, OncoScreen</w:t>
      </w:r>
      <w:r>
        <w:rPr>
          <w:rFonts w:ascii="Arial" w:cs="Arial" w:eastAsia="Arial" w:hAnsi="Arial"/>
          <w:sz w:val="14"/>
          <w:szCs w:val="14"/>
          <w:color w:val="auto"/>
        </w:rPr>
        <w:t>TM</w:t>
      </w:r>
      <w:r>
        <w:rPr>
          <w:rFonts w:ascii="Arial" w:cs="Arial" w:eastAsia="Arial" w:hAnsi="Arial"/>
          <w:sz w:val="17"/>
          <w:szCs w:val="17"/>
          <w:color w:val="auto"/>
        </w:rPr>
        <w:t xml:space="preserve"> IO and OncoCompass</w:t>
      </w:r>
      <w:r>
        <w:rPr>
          <w:rFonts w:ascii="Arial" w:cs="Arial" w:eastAsia="Arial" w:hAnsi="Arial"/>
          <w:sz w:val="14"/>
          <w:szCs w:val="14"/>
          <w:color w:val="auto"/>
        </w:rPr>
        <w:t>TM</w:t>
      </w:r>
      <w:r>
        <w:rPr>
          <w:rFonts w:ascii="Arial" w:cs="Arial" w:eastAsia="Arial" w:hAnsi="Arial"/>
          <w:sz w:val="17"/>
          <w:szCs w:val="17"/>
          <w:color w:val="auto"/>
        </w:rPr>
        <w:t xml:space="preserve"> IO were also used in research studies that resulted in publications in high-impact journals, including Clinical Cancer Research and EBioMedicine.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OncoCompass</w:t>
      </w:r>
      <w:r>
        <w:rPr>
          <w:rFonts w:ascii="Arial" w:cs="Arial" w:eastAsia="Arial" w:hAnsi="Arial"/>
          <w:sz w:val="15"/>
          <w:szCs w:val="15"/>
          <w:b w:val="1"/>
          <w:bCs w:val="1"/>
          <w:i w:val="1"/>
          <w:iCs w:val="1"/>
          <w:color w:val="auto"/>
        </w:rPr>
        <w:t>TM</w:t>
      </w:r>
      <w:r>
        <w:rPr>
          <w:rFonts w:ascii="Arial" w:cs="Arial" w:eastAsia="Arial" w:hAnsi="Arial"/>
          <w:sz w:val="18"/>
          <w:szCs w:val="18"/>
          <w:b w:val="1"/>
          <w:bCs w:val="1"/>
          <w:i w:val="1"/>
          <w:iCs w:val="1"/>
          <w:color w:val="auto"/>
        </w:rPr>
        <w:t xml:space="preserve"> Target</w:t>
      </w:r>
    </w:p>
    <w:p>
      <w:pPr>
        <w:spacing w:after="0" w:line="11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In 2015, we launched OncoCompass</w:t>
      </w:r>
      <w:r>
        <w:rPr>
          <w:rFonts w:ascii="Arial" w:cs="Arial" w:eastAsia="Arial" w:hAnsi="Arial"/>
          <w:sz w:val="14"/>
          <w:szCs w:val="14"/>
          <w:color w:val="auto"/>
        </w:rPr>
        <w:t>TM</w:t>
      </w:r>
      <w:r>
        <w:rPr>
          <w:rFonts w:ascii="Arial" w:cs="Arial" w:eastAsia="Arial" w:hAnsi="Arial"/>
          <w:sz w:val="17"/>
          <w:szCs w:val="17"/>
          <w:color w:val="auto"/>
        </w:rPr>
        <w:t xml:space="preserve"> Target, our ctDNA liquid biopsy-based test for NSCLC, which we upgraded to a pan-cancer test for all solid tumors. This test analyzes 168 genes that are related to the development of NSCLC and solid tumors, including all genes that have a targeted therapy that is FDA- or NMPA-approved or NCCN-recommended. It provides information with optimal clinical value for cancer patients, especially advanced-stage cancer patients who do not have accessible tissue, for various solid tumors across treatment stages, from baseline profiling, dynamic monitoring to MRD detection. The table below sets forth the key specifications of OncoCompass</w:t>
      </w:r>
      <w:r>
        <w:rPr>
          <w:rFonts w:ascii="Arial" w:cs="Arial" w:eastAsia="Arial" w:hAnsi="Arial"/>
          <w:sz w:val="14"/>
          <w:szCs w:val="14"/>
          <w:color w:val="auto"/>
        </w:rPr>
        <w:t>TM</w:t>
      </w:r>
      <w:r>
        <w:rPr>
          <w:rFonts w:ascii="Arial" w:cs="Arial" w:eastAsia="Arial" w:hAnsi="Arial"/>
          <w:sz w:val="17"/>
          <w:szCs w:val="17"/>
          <w:color w:val="auto"/>
        </w:rPr>
        <w:t xml:space="preserve"> Target:</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2"/>
              </w:rPr>
              <w:t>Product and Operational Specifications</w:t>
            </w:r>
          </w:p>
        </w:tc>
        <w:tc>
          <w:tcPr>
            <w:tcW w:w="3740" w:type="dxa"/>
            <w:vAlign w:val="bottom"/>
            <w:vMerge w:val="restart"/>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OncoCompass</w:t>
            </w:r>
            <w:r>
              <w:rPr>
                <w:rFonts w:ascii="Arial" w:cs="Arial" w:eastAsia="Arial" w:hAnsi="Arial"/>
                <w:sz w:val="12"/>
                <w:szCs w:val="12"/>
                <w:b w:val="1"/>
                <w:bCs w:val="1"/>
                <w:color w:val="auto"/>
                <w:w w:val="92"/>
              </w:rPr>
              <w:t>TM</w:t>
            </w:r>
          </w:p>
        </w:tc>
        <w:tc>
          <w:tcPr>
            <w:tcW w:w="0" w:type="dxa"/>
            <w:vAlign w:val="bottom"/>
          </w:tcPr>
          <w:p>
            <w:pPr>
              <w:spacing w:after="0"/>
              <w:rPr>
                <w:sz w:val="1"/>
                <w:szCs w:val="1"/>
                <w:color w:val="auto"/>
              </w:rPr>
            </w:pPr>
          </w:p>
        </w:tc>
      </w:tr>
      <w:tr>
        <w:trPr>
          <w:trHeight w:val="178"/>
        </w:trPr>
        <w:tc>
          <w:tcPr>
            <w:tcW w:w="244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30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Number of genes</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Immunotherapy biomarkers</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MSI</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 of detection (defined at 80% sensitivity)</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Percentage of samples processed within 7 days</w:t>
            </w:r>
            <w:r>
              <w:rPr>
                <w:rFonts w:ascii="Arial" w:cs="Arial" w:eastAsia="Arial" w:hAnsi="Arial"/>
                <w:sz w:val="15"/>
                <w:szCs w:val="15"/>
                <w:color w:val="auto"/>
              </w:rPr>
              <w:t>(1)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clinical samples processed</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51,800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For the year ended December 31, 2020.</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OncoCompass</w:t>
      </w:r>
      <w:r>
        <w:rPr>
          <w:rFonts w:ascii="Arial" w:cs="Arial" w:eastAsia="Arial" w:hAnsi="Arial"/>
          <w:sz w:val="14"/>
          <w:szCs w:val="14"/>
          <w:color w:val="auto"/>
        </w:rPr>
        <w:t>TM</w:t>
      </w:r>
      <w:r>
        <w:rPr>
          <w:rFonts w:ascii="Arial" w:cs="Arial" w:eastAsia="Arial" w:hAnsi="Arial"/>
          <w:sz w:val="17"/>
          <w:szCs w:val="17"/>
          <w:color w:val="auto"/>
        </w:rPr>
        <w:t xml:space="preserve"> Target demonstrates consistently high sensitivity in liquid biopsies for biomarkers that are difficult to detect using conventional methods. For example, our OncoCompass</w:t>
      </w:r>
      <w:r>
        <w:rPr>
          <w:rFonts w:ascii="Arial" w:cs="Arial" w:eastAsia="Arial" w:hAnsi="Arial"/>
          <w:sz w:val="14"/>
          <w:szCs w:val="14"/>
          <w:color w:val="auto"/>
        </w:rPr>
        <w:t>TM</w:t>
      </w:r>
      <w:r>
        <w:rPr>
          <w:rFonts w:ascii="Arial" w:cs="Arial" w:eastAsia="Arial" w:hAnsi="Arial"/>
          <w:sz w:val="17"/>
          <w:szCs w:val="17"/>
          <w:color w:val="auto"/>
        </w:rPr>
        <w:t xml:space="preserve"> Target can detect actionable mutations among treatment-naive stage IV NSCLC patients with sensitivity of 96% and specificity greater than 99%. In a separate study, OncoCompass</w:t>
      </w:r>
      <w:r>
        <w:rPr>
          <w:rFonts w:ascii="Arial" w:cs="Arial" w:eastAsia="Arial" w:hAnsi="Arial"/>
          <w:sz w:val="14"/>
          <w:szCs w:val="14"/>
          <w:color w:val="auto"/>
        </w:rPr>
        <w:t>TM</w:t>
      </w:r>
      <w:r>
        <w:rPr>
          <w:rFonts w:ascii="Arial" w:cs="Arial" w:eastAsia="Arial" w:hAnsi="Arial"/>
          <w:sz w:val="17"/>
          <w:szCs w:val="17"/>
          <w:color w:val="auto"/>
        </w:rPr>
        <w:t xml:space="preserve"> Target detected ALK fusion with a sensitivity of 79%. From a real-world cohort of 1016 patients with paired tissue and plasma samples tested simultaneously, OncoCompass</w:t>
      </w:r>
      <w:r>
        <w:rPr>
          <w:rFonts w:ascii="Arial" w:cs="Arial" w:eastAsia="Arial" w:hAnsi="Arial"/>
          <w:sz w:val="14"/>
          <w:szCs w:val="14"/>
          <w:color w:val="auto"/>
        </w:rPr>
        <w:t>TM</w:t>
      </w:r>
      <w:r>
        <w:rPr>
          <w:rFonts w:ascii="Arial" w:cs="Arial" w:eastAsia="Arial" w:hAnsi="Arial"/>
          <w:sz w:val="17"/>
          <w:szCs w:val="17"/>
          <w:color w:val="auto"/>
        </w:rPr>
        <w:t xml:space="preserve"> Target could detect at least one actionable mutation among 74% patients from tissues samples, 61% from plasma samples, or 76% from either.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The performance of OncoCompass</w:t>
      </w:r>
      <w:r>
        <w:rPr>
          <w:rFonts w:ascii="Arial" w:cs="Arial" w:eastAsia="Arial" w:hAnsi="Arial"/>
          <w:sz w:val="15"/>
          <w:szCs w:val="15"/>
          <w:color w:val="auto"/>
        </w:rPr>
        <w:t>TM</w:t>
      </w:r>
      <w:r>
        <w:rPr>
          <w:rFonts w:ascii="Arial" w:cs="Arial" w:eastAsia="Arial" w:hAnsi="Arial"/>
          <w:sz w:val="18"/>
          <w:szCs w:val="18"/>
          <w:color w:val="auto"/>
        </w:rPr>
        <w:t xml:space="preserve"> Target has been validated in clinical trials and research studies led by international and domestic pharmaceutical companies and leading oncology key opinion leaders, including:</w:t>
      </w:r>
    </w:p>
    <w:p>
      <w:pPr>
        <w:spacing w:after="0" w:line="76" w:lineRule="exact"/>
        <w:rPr>
          <w:sz w:val="20"/>
          <w:szCs w:val="20"/>
          <w:color w:val="auto"/>
        </w:rPr>
      </w:pPr>
    </w:p>
    <w:p>
      <w:pPr>
        <w:ind w:left="1080" w:right="40" w:hanging="424"/>
        <w:spacing w:after="0" w:line="255"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2017 study that was published in the Journal of Thoracic Oncology titled “</w:t>
      </w:r>
      <w:r>
        <w:rPr>
          <w:rFonts w:ascii="Arial" w:cs="Arial" w:eastAsia="Arial" w:hAnsi="Arial"/>
          <w:sz w:val="18"/>
          <w:szCs w:val="18"/>
          <w:i w:val="1"/>
          <w:iCs w:val="1"/>
          <w:color w:val="auto"/>
        </w:rPr>
        <w:t>Capture-based targeted ultradeep sequencing in paired tissue</w:t>
      </w:r>
      <w:r>
        <w:rPr>
          <w:rFonts w:ascii="Arial" w:cs="Arial" w:eastAsia="Arial" w:hAnsi="Arial"/>
          <w:sz w:val="18"/>
          <w:szCs w:val="18"/>
          <w:color w:val="auto"/>
        </w:rPr>
        <w:t xml:space="preserve"> </w:t>
      </w:r>
      <w:r>
        <w:rPr>
          <w:rFonts w:ascii="Arial" w:cs="Arial" w:eastAsia="Arial" w:hAnsi="Arial"/>
          <w:sz w:val="18"/>
          <w:szCs w:val="18"/>
          <w:i w:val="1"/>
          <w:iCs w:val="1"/>
          <w:color w:val="auto"/>
        </w:rPr>
        <w:t>and plasma samples demonstrates differential subclonal ctDNA-releasing capability in advanced lung cancer</w:t>
      </w:r>
      <w:r>
        <w:rPr>
          <w:rFonts w:ascii="Arial" w:cs="Arial" w:eastAsia="Arial" w:hAnsi="Arial"/>
          <w:sz w:val="18"/>
          <w:szCs w:val="18"/>
          <w:color w:val="auto"/>
        </w:rPr>
        <w:t>,” in which OncoCompass</w:t>
      </w:r>
      <w:r>
        <w:rPr>
          <w:rFonts w:ascii="Arial" w:cs="Arial" w:eastAsia="Arial" w:hAnsi="Arial"/>
          <w:sz w:val="15"/>
          <w:szCs w:val="15"/>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Target presented high concordance between the paired tissue and plasma samples, illustrating its high clinical feasibility and utility. In this study, the specificity of OncoCompass</w:t>
      </w:r>
      <w:r>
        <w:rPr>
          <w:rFonts w:ascii="Arial" w:cs="Arial" w:eastAsia="Arial" w:hAnsi="Arial"/>
          <w:sz w:val="15"/>
          <w:szCs w:val="15"/>
          <w:color w:val="auto"/>
        </w:rPr>
        <w:t>TM</w:t>
      </w:r>
      <w:r>
        <w:rPr>
          <w:rFonts w:ascii="Arial" w:cs="Arial" w:eastAsia="Arial" w:hAnsi="Arial"/>
          <w:sz w:val="18"/>
          <w:szCs w:val="18"/>
          <w:color w:val="auto"/>
        </w:rPr>
        <w:t xml:space="preserve"> Target for all targeted genomic alterations was higher than 99%, and the sensitivity of OncoCompass</w:t>
      </w:r>
      <w:r>
        <w:rPr>
          <w:rFonts w:ascii="Arial" w:cs="Arial" w:eastAsia="Arial" w:hAnsi="Arial"/>
          <w:sz w:val="15"/>
          <w:szCs w:val="15"/>
          <w:color w:val="auto"/>
        </w:rPr>
        <w:t>TM</w:t>
      </w:r>
      <w:r>
        <w:rPr>
          <w:rFonts w:ascii="Arial" w:cs="Arial" w:eastAsia="Arial" w:hAnsi="Arial"/>
          <w:sz w:val="18"/>
          <w:szCs w:val="18"/>
          <w:color w:val="auto"/>
        </w:rPr>
        <w:t xml:space="preserve"> Target was 87.2% for all targeted genomic alterations and 96.2% for the known actionable driver mutations among the 7 NCCN-recommended genes.</w:t>
      </w:r>
    </w:p>
    <w:p>
      <w:pPr>
        <w:spacing w:after="0" w:line="97" w:lineRule="exact"/>
        <w:rPr>
          <w:rFonts w:ascii="Arial" w:cs="Arial" w:eastAsia="Arial" w:hAnsi="Arial"/>
          <w:sz w:val="18"/>
          <w:szCs w:val="18"/>
          <w:color w:val="auto"/>
        </w:rPr>
      </w:pPr>
    </w:p>
    <w:p>
      <w:pPr>
        <w:ind w:left="1080" w:right="140" w:hanging="424"/>
        <w:spacing w:after="0" w:line="293"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OncoCompass</w:t>
      </w:r>
      <w:r>
        <w:rPr>
          <w:rFonts w:ascii="Arial" w:cs="Arial" w:eastAsia="Arial" w:hAnsi="Arial"/>
          <w:sz w:val="13"/>
          <w:szCs w:val="13"/>
          <w:color w:val="auto"/>
        </w:rPr>
        <w:t>TM</w:t>
      </w:r>
      <w:r>
        <w:rPr>
          <w:rFonts w:ascii="Arial" w:cs="Arial" w:eastAsia="Arial" w:hAnsi="Arial"/>
          <w:sz w:val="16"/>
          <w:szCs w:val="16"/>
          <w:color w:val="auto"/>
        </w:rPr>
        <w:t xml:space="preserve"> Target was applied in the exploratory biomarker sub-study within the BENEFIT study, which was an innovatively designed prospective study where patients were tested for EGFR mutations based solely on liquid biopsy and recruited to test the efficacy of Gefitinib among EGFR-mutant patients. The BENEFIT study was published in the </w:t>
      </w:r>
      <w:r>
        <w:rPr>
          <w:rFonts w:ascii="Arial" w:cs="Arial" w:eastAsia="Arial" w:hAnsi="Arial"/>
          <w:sz w:val="16"/>
          <w:szCs w:val="16"/>
          <w:i w:val="1"/>
          <w:iCs w:val="1"/>
          <w:color w:val="auto"/>
        </w:rPr>
        <w:t>Lancet Respiratory Medicine</w:t>
      </w:r>
      <w:r>
        <w:rPr>
          <w:rFonts w:ascii="Arial" w:cs="Arial" w:eastAsia="Arial" w:hAnsi="Arial"/>
          <w:sz w:val="16"/>
          <w:szCs w:val="16"/>
          <w:color w:val="auto"/>
        </w:rPr>
        <w:t xml:space="preserve"> titled “</w:t>
      </w:r>
      <w:r>
        <w:rPr>
          <w:rFonts w:ascii="Arial" w:cs="Arial" w:eastAsia="Arial" w:hAnsi="Arial"/>
          <w:sz w:val="16"/>
          <w:szCs w:val="16"/>
          <w:i w:val="1"/>
          <w:iCs w:val="1"/>
          <w:color w:val="auto"/>
        </w:rPr>
        <w:t>Detection of</w:t>
      </w:r>
      <w:r>
        <w:rPr>
          <w:rFonts w:ascii="Arial" w:cs="Arial" w:eastAsia="Arial" w:hAnsi="Arial"/>
          <w:sz w:val="16"/>
          <w:szCs w:val="16"/>
          <w:color w:val="auto"/>
        </w:rPr>
        <w:t xml:space="preserve"> </w:t>
      </w:r>
      <w:r>
        <w:rPr>
          <w:rFonts w:ascii="Arial" w:cs="Arial" w:eastAsia="Arial" w:hAnsi="Arial"/>
          <w:sz w:val="16"/>
          <w:szCs w:val="16"/>
          <w:i w:val="1"/>
          <w:iCs w:val="1"/>
          <w:color w:val="auto"/>
        </w:rPr>
        <w:t>EGFR mutations in plasma circulating tumor DNA as a selection criterion for first-line gefitinib treatment in patients with advanced lung adenocarcinoma (BENEFIT): a phase 2, single-arm, multicenter clinical trial</w:t>
      </w:r>
      <w:r>
        <w:rPr>
          <w:rFonts w:ascii="Arial" w:cs="Arial" w:eastAsia="Arial" w:hAnsi="Arial"/>
          <w:sz w:val="16"/>
          <w:szCs w:val="16"/>
          <w:color w:val="auto"/>
        </w:rPr>
        <w:t>”. In this study, concurrent mutations identified by</w:t>
      </w:r>
      <w:r>
        <w:rPr>
          <w:rFonts w:ascii="Arial" w:cs="Arial" w:eastAsia="Arial" w:hAnsi="Arial"/>
          <w:sz w:val="16"/>
          <w:szCs w:val="16"/>
          <w:i w:val="1"/>
          <w:iCs w:val="1"/>
          <w:color w:val="auto"/>
        </w:rPr>
        <w:t xml:space="preserve"> </w:t>
      </w:r>
      <w:r>
        <w:rPr>
          <w:rFonts w:ascii="Arial" w:cs="Arial" w:eastAsia="Arial" w:hAnsi="Arial"/>
          <w:sz w:val="16"/>
          <w:szCs w:val="16"/>
          <w:color w:val="auto"/>
        </w:rPr>
        <w:t>OncoCompass</w:t>
      </w:r>
      <w:r>
        <w:rPr>
          <w:rFonts w:ascii="Arial" w:cs="Arial" w:eastAsia="Arial" w:hAnsi="Arial"/>
          <w:sz w:val="13"/>
          <w:szCs w:val="13"/>
          <w:color w:val="auto"/>
        </w:rPr>
        <w:t>TM</w:t>
      </w:r>
      <w:r>
        <w:rPr>
          <w:rFonts w:ascii="Arial" w:cs="Arial" w:eastAsia="Arial" w:hAnsi="Arial"/>
          <w:sz w:val="16"/>
          <w:szCs w:val="16"/>
          <w:color w:val="auto"/>
        </w:rPr>
        <w:t xml:space="preserve"> Target were able to further stratify EGFR-mutant patients into groups with differential response to Gefetinib.</w:t>
      </w:r>
    </w:p>
    <w:p>
      <w:pPr>
        <w:spacing w:after="0" w:line="69" w:lineRule="exact"/>
        <w:rPr>
          <w:rFonts w:ascii="Arial" w:cs="Arial" w:eastAsia="Arial" w:hAnsi="Arial"/>
          <w:sz w:val="16"/>
          <w:szCs w:val="16"/>
          <w:color w:val="auto"/>
        </w:rPr>
      </w:pPr>
    </w:p>
    <w:p>
      <w:pPr>
        <w:ind w:left="1080" w:right="7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OncoCompass</w:t>
      </w:r>
      <w:r>
        <w:rPr>
          <w:rFonts w:ascii="Arial" w:cs="Arial" w:eastAsia="Arial" w:hAnsi="Arial"/>
          <w:sz w:val="15"/>
          <w:szCs w:val="15"/>
          <w:color w:val="auto"/>
        </w:rPr>
        <w:t>TM</w:t>
      </w:r>
      <w:r>
        <w:rPr>
          <w:rFonts w:ascii="Arial" w:cs="Arial" w:eastAsia="Arial" w:hAnsi="Arial"/>
          <w:sz w:val="18"/>
          <w:szCs w:val="18"/>
          <w:color w:val="auto"/>
        </w:rPr>
        <w:t xml:space="preserve"> Target was selected by AstraZeneca as the only NGS-based product for its Tagrisso (Osimertinib) Phase III diagnostic methods comparison study.</w:t>
      </w:r>
    </w:p>
    <w:p>
      <w:pPr>
        <w:spacing w:after="0" w:line="170" w:lineRule="exact"/>
        <w:rPr>
          <w:sz w:val="20"/>
          <w:szCs w:val="20"/>
          <w:color w:val="auto"/>
        </w:rPr>
      </w:pPr>
    </w:p>
    <w:p>
      <w:pPr>
        <w:ind w:left="120" w:right="120" w:firstLine="440"/>
        <w:spacing w:after="0" w:line="284" w:lineRule="auto"/>
        <w:rPr>
          <w:sz w:val="20"/>
          <w:szCs w:val="20"/>
          <w:color w:val="auto"/>
        </w:rPr>
      </w:pPr>
      <w:r>
        <w:rPr>
          <w:rFonts w:ascii="Arial" w:cs="Arial" w:eastAsia="Arial" w:hAnsi="Arial"/>
          <w:sz w:val="16"/>
          <w:szCs w:val="16"/>
          <w:color w:val="auto"/>
        </w:rPr>
        <w:t>OncoCompass</w:t>
      </w:r>
      <w:r>
        <w:rPr>
          <w:rFonts w:ascii="Arial" w:cs="Arial" w:eastAsia="Arial" w:hAnsi="Arial"/>
          <w:sz w:val="13"/>
          <w:szCs w:val="13"/>
          <w:color w:val="auto"/>
        </w:rPr>
        <w:t>TM</w:t>
      </w:r>
      <w:r>
        <w:rPr>
          <w:rFonts w:ascii="Arial" w:cs="Arial" w:eastAsia="Arial" w:hAnsi="Arial"/>
          <w:sz w:val="16"/>
          <w:szCs w:val="16"/>
          <w:color w:val="auto"/>
        </w:rPr>
        <w:t xml:space="preserve"> Target has also been used in a number of high impact research studies, with results published in over 50 peer-reviewed articles in academic journals, including Journal of Thoracic Cancer, Annals of Oncology and Lancet Respiratory Medicine. For example, our OncoCompass</w:t>
      </w:r>
      <w:r>
        <w:rPr>
          <w:rFonts w:ascii="Arial" w:cs="Arial" w:eastAsia="Arial" w:hAnsi="Arial"/>
          <w:sz w:val="13"/>
          <w:szCs w:val="13"/>
          <w:color w:val="auto"/>
        </w:rPr>
        <w:t>TM</w:t>
      </w:r>
      <w:r>
        <w:rPr>
          <w:rFonts w:ascii="Arial" w:cs="Arial" w:eastAsia="Arial" w:hAnsi="Arial"/>
          <w:sz w:val="16"/>
          <w:szCs w:val="16"/>
          <w:color w:val="auto"/>
        </w:rPr>
        <w:t xml:space="preserve"> Target was used in the following research studies: (1) a research study that resulted in the 2018 January Annals of Oncology article titled “</w:t>
      </w:r>
      <w:r>
        <w:rPr>
          <w:rFonts w:ascii="Arial" w:cs="Arial" w:eastAsia="Arial" w:hAnsi="Arial"/>
          <w:sz w:val="16"/>
          <w:szCs w:val="16"/>
          <w:i w:val="1"/>
          <w:iCs w:val="1"/>
          <w:color w:val="auto"/>
        </w:rPr>
        <w:t>Unique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genetic profiles from cerebrospinal fluid cell-free DNA in leptomeningeal metastases of </w:t>
      </w:r>
      <w:r>
        <w:rPr>
          <w:rFonts w:ascii="Arial" w:cs="Arial" w:eastAsia="Arial" w:hAnsi="Arial"/>
          <w:sz w:val="16"/>
          <w:szCs w:val="16"/>
          <w:color w:val="auto"/>
        </w:rPr>
        <w:t>EGFR-</w:t>
      </w:r>
      <w:r>
        <w:rPr>
          <w:rFonts w:ascii="Arial" w:cs="Arial" w:eastAsia="Arial" w:hAnsi="Arial"/>
          <w:sz w:val="16"/>
          <w:szCs w:val="16"/>
          <w:i w:val="1"/>
          <w:iCs w:val="1"/>
          <w:color w:val="auto"/>
        </w:rPr>
        <w:t>mutant non-small-cell lung cancer: a new medium of liquid biopsy</w:t>
      </w:r>
      <w:r>
        <w:rPr>
          <w:rFonts w:ascii="Arial" w:cs="Arial" w:eastAsia="Arial" w:hAnsi="Arial"/>
          <w:sz w:val="16"/>
          <w:szCs w:val="16"/>
          <w:color w:val="auto"/>
        </w:rPr>
        <w:t>,” which we jointly published with Professor Yi-Long Wu; (2) a research study that resulted in the 2018 July Journal of Thoracic Onology</w:t>
      </w:r>
      <w:r>
        <w:rPr>
          <w:rFonts w:ascii="Arial" w:cs="Arial" w:eastAsia="Arial" w:hAnsi="Arial"/>
          <w:sz w:val="16"/>
          <w:szCs w:val="16"/>
          <w:i w:val="1"/>
          <w:iCs w:val="1"/>
          <w:color w:val="auto"/>
        </w:rPr>
        <w:t xml:space="preserve"> </w:t>
      </w:r>
      <w:r>
        <w:rPr>
          <w:rFonts w:ascii="Arial" w:cs="Arial" w:eastAsia="Arial" w:hAnsi="Arial"/>
          <w:sz w:val="16"/>
          <w:szCs w:val="16"/>
          <w:color w:val="auto"/>
        </w:rPr>
        <w:t>article titled “</w:t>
      </w:r>
      <w:r>
        <w:rPr>
          <w:rFonts w:ascii="Arial" w:cs="Arial" w:eastAsia="Arial" w:hAnsi="Arial"/>
          <w:sz w:val="16"/>
          <w:szCs w:val="16"/>
          <w:i w:val="1"/>
          <w:iCs w:val="1"/>
          <w:color w:val="auto"/>
        </w:rPr>
        <w:t>First-in-human Phase I study of AC0010, a mutant-selective EGFR inhibitor in non-small cell lung cancer: safety, efficacy and potential</w:t>
      </w:r>
      <w:r>
        <w:rPr>
          <w:rFonts w:ascii="Arial" w:cs="Arial" w:eastAsia="Arial" w:hAnsi="Arial"/>
          <w:sz w:val="16"/>
          <w:szCs w:val="16"/>
          <w:color w:val="auto"/>
        </w:rPr>
        <w:t xml:space="preserve"> </w:t>
      </w:r>
      <w:r>
        <w:rPr>
          <w:rFonts w:ascii="Arial" w:cs="Arial" w:eastAsia="Arial" w:hAnsi="Arial"/>
          <w:sz w:val="16"/>
          <w:szCs w:val="16"/>
          <w:i w:val="1"/>
          <w:iCs w:val="1"/>
          <w:color w:val="auto"/>
        </w:rPr>
        <w:t>mechanism of resistance</w:t>
      </w:r>
      <w:r>
        <w:rPr>
          <w:rFonts w:ascii="Arial" w:cs="Arial" w:eastAsia="Arial" w:hAnsi="Arial"/>
          <w:sz w:val="16"/>
          <w:szCs w:val="16"/>
          <w:color w:val="auto"/>
        </w:rPr>
        <w:t>,” which we jointly published with Professor Li Zhang; (3) a research study that resulted in the 2020 February Journal of</w:t>
      </w:r>
      <w:r>
        <w:rPr>
          <w:rFonts w:ascii="Arial" w:cs="Arial" w:eastAsia="Arial" w:hAnsi="Arial"/>
          <w:sz w:val="16"/>
          <w:szCs w:val="16"/>
          <w:i w:val="1"/>
          <w:iCs w:val="1"/>
          <w:color w:val="auto"/>
        </w:rPr>
        <w:t xml:space="preserve"> </w:t>
      </w:r>
      <w:r>
        <w:rPr>
          <w:rFonts w:ascii="Arial" w:cs="Arial" w:eastAsia="Arial" w:hAnsi="Arial"/>
          <w:sz w:val="16"/>
          <w:szCs w:val="16"/>
          <w:color w:val="auto"/>
        </w:rPr>
        <w:t>Thoracic Cancer article titled “</w:t>
      </w:r>
      <w:r>
        <w:rPr>
          <w:rFonts w:ascii="Arial" w:cs="Arial" w:eastAsia="Arial" w:hAnsi="Arial"/>
          <w:sz w:val="16"/>
          <w:szCs w:val="16"/>
          <w:i w:val="1"/>
          <w:iCs w:val="1"/>
          <w:color w:val="auto"/>
        </w:rPr>
        <w:t>Detection of non-reciprocal reciprocal ALK translocation as poor predictive marker in first-line crizotinib-</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treated ALK-rearranged non-small cell lung cancer patients</w:t>
      </w:r>
      <w:r>
        <w:rPr>
          <w:rFonts w:ascii="Arial" w:cs="Arial" w:eastAsia="Arial" w:hAnsi="Arial"/>
          <w:sz w:val="16"/>
          <w:szCs w:val="16"/>
          <w:color w:val="auto"/>
        </w:rPr>
        <w:t>,” which we jointly published with Professor Nong Yang; (4) a research study that resulted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the 2019 December Translational Lung Cancer Research article titled “</w:t>
      </w:r>
      <w:r>
        <w:rPr>
          <w:rFonts w:ascii="Arial" w:cs="Arial" w:eastAsia="Arial" w:hAnsi="Arial"/>
          <w:sz w:val="16"/>
          <w:szCs w:val="16"/>
          <w:i w:val="1"/>
          <w:iCs w:val="1"/>
          <w:color w:val="auto"/>
        </w:rPr>
        <w:t>Parallel serial assessment of somatic mutation and methylation profile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circulating tumor DNA predicts treatment response and impending disease progression in osimertinib-treated lung adenocarcinoma patients</w:t>
      </w:r>
      <w:r>
        <w:rPr>
          <w:rFonts w:ascii="Arial" w:cs="Arial" w:eastAsia="Arial" w:hAnsi="Arial"/>
          <w:sz w:val="16"/>
          <w:szCs w:val="16"/>
          <w:color w:val="auto"/>
        </w:rPr>
        <w:t>,” which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jointly published with Professor Yuan Chen; and (5) a research study that resulted in the 2020 April Translational Lung Cancer Research article titled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Circulating tumor DNA clearance predicts prognosis across treatment regimen in a large real-world longitudinally monitored advanced non-small cell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lung cancer cohort</w:t>
      </w:r>
      <w:r>
        <w:rPr>
          <w:rFonts w:ascii="Arial" w:cs="Arial" w:eastAsia="Arial" w:hAnsi="Arial"/>
          <w:sz w:val="18"/>
          <w:szCs w:val="18"/>
          <w:color w:val="auto"/>
        </w:rPr>
        <w:t>”, which we jointly published with Professor Shun Lu.</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published studies provide further evidence of OncoCompass</w:t>
      </w:r>
      <w:r>
        <w:rPr>
          <w:rFonts w:ascii="Arial" w:cs="Arial" w:eastAsia="Arial" w:hAnsi="Arial"/>
          <w:sz w:val="15"/>
          <w:szCs w:val="15"/>
          <w:color w:val="auto"/>
        </w:rPr>
        <w:t>TM</w:t>
      </w:r>
      <w:r>
        <w:rPr>
          <w:rFonts w:ascii="Arial" w:cs="Arial" w:eastAsia="Arial" w:hAnsi="Arial"/>
          <w:sz w:val="18"/>
          <w:szCs w:val="18"/>
          <w:color w:val="auto"/>
        </w:rPr>
        <w:t xml:space="preserve"> Target’s accurate and consistent test performance.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ColonCore</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ColonCore, which we launched in 2016, is capable of simultaneously assessing 22 microsatellite loci related to MSI status and detecting mutations in 41 genes associated with gastrointestinal cancers. It has been validated in multiple studies in China on NGS-based detection of MSI from both tissue and plasma samples. According to a 2018 March Journal of Molecular Diagnostics article titled “</w:t>
      </w:r>
      <w:r>
        <w:rPr>
          <w:rFonts w:ascii="Arial" w:cs="Arial" w:eastAsia="Arial" w:hAnsi="Arial"/>
          <w:sz w:val="17"/>
          <w:szCs w:val="17"/>
          <w:i w:val="1"/>
          <w:iCs w:val="1"/>
          <w:color w:val="auto"/>
        </w:rPr>
        <w:t>A novel and reliable method to detect microsatellite</w:t>
      </w:r>
      <w:r>
        <w:rPr>
          <w:rFonts w:ascii="Arial" w:cs="Arial" w:eastAsia="Arial" w:hAnsi="Arial"/>
          <w:sz w:val="17"/>
          <w:szCs w:val="17"/>
          <w:color w:val="auto"/>
        </w:rPr>
        <w:t xml:space="preserve"> </w:t>
      </w:r>
      <w:r>
        <w:rPr>
          <w:rFonts w:ascii="Arial" w:cs="Arial" w:eastAsia="Arial" w:hAnsi="Arial"/>
          <w:sz w:val="17"/>
          <w:szCs w:val="17"/>
          <w:i w:val="1"/>
          <w:iCs w:val="1"/>
          <w:color w:val="auto"/>
        </w:rPr>
        <w:t>instability in colorectal cancer by next-generation sequencing</w:t>
      </w:r>
      <w:r>
        <w:rPr>
          <w:rFonts w:ascii="Arial" w:cs="Arial" w:eastAsia="Arial" w:hAnsi="Arial"/>
          <w:sz w:val="17"/>
          <w:szCs w:val="17"/>
          <w:color w:val="auto"/>
        </w:rPr>
        <w:t>,” the specificity and sensitivity of ColonCore were 100% and 97.9%, respectively.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ColonCore was also endorsed and recommended in </w:t>
      </w:r>
      <w:r>
        <w:rPr>
          <w:rFonts w:ascii="Arial" w:cs="Arial" w:eastAsia="Arial" w:hAnsi="Arial"/>
          <w:sz w:val="17"/>
          <w:szCs w:val="17"/>
          <w:i w:val="1"/>
          <w:iCs w:val="1"/>
          <w:color w:val="auto"/>
        </w:rPr>
        <w:t>Chinese Experts Consensus on MSI Testing</w:t>
      </w:r>
      <w:r>
        <w:rPr>
          <w:rFonts w:ascii="Arial" w:cs="Arial" w:eastAsia="Arial" w:hAnsi="Arial"/>
          <w:sz w:val="17"/>
          <w:szCs w:val="17"/>
          <w:color w:val="auto"/>
        </w:rPr>
        <w: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OncoScreen</w:t>
      </w:r>
      <w:r>
        <w:rPr>
          <w:rFonts w:ascii="Arial" w:cs="Arial" w:eastAsia="Arial" w:hAnsi="Arial"/>
          <w:sz w:val="15"/>
          <w:szCs w:val="15"/>
          <w:b w:val="1"/>
          <w:bCs w:val="1"/>
          <w:i w:val="1"/>
          <w:iCs w:val="1"/>
          <w:color w:val="auto"/>
        </w:rPr>
        <w:t>TM</w:t>
      </w:r>
      <w:r>
        <w:rPr>
          <w:rFonts w:ascii="Arial" w:cs="Arial" w:eastAsia="Arial" w:hAnsi="Arial"/>
          <w:sz w:val="18"/>
          <w:szCs w:val="18"/>
          <w:b w:val="1"/>
          <w:bCs w:val="1"/>
          <w:i w:val="1"/>
          <w:iCs w:val="1"/>
          <w:color w:val="auto"/>
        </w:rPr>
        <w:t xml:space="preserve"> ParpMatch/OncoCompass</w:t>
      </w:r>
      <w:r>
        <w:rPr>
          <w:rFonts w:ascii="Arial" w:cs="Arial" w:eastAsia="Arial" w:hAnsi="Arial"/>
          <w:sz w:val="15"/>
          <w:szCs w:val="15"/>
          <w:b w:val="1"/>
          <w:bCs w:val="1"/>
          <w:i w:val="1"/>
          <w:iCs w:val="1"/>
          <w:color w:val="auto"/>
        </w:rPr>
        <w:t>TM</w:t>
      </w:r>
      <w:r>
        <w:rPr>
          <w:rFonts w:ascii="Arial" w:cs="Arial" w:eastAsia="Arial" w:hAnsi="Arial"/>
          <w:sz w:val="18"/>
          <w:szCs w:val="18"/>
          <w:b w:val="1"/>
          <w:bCs w:val="1"/>
          <w:i w:val="1"/>
          <w:iCs w:val="1"/>
          <w:color w:val="auto"/>
        </w:rPr>
        <w:t xml:space="preserve"> ParpMatch</w:t>
      </w:r>
    </w:p>
    <w:p>
      <w:pPr>
        <w:spacing w:after="0" w:line="11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OncoScreen</w:t>
      </w:r>
      <w:r>
        <w:rPr>
          <w:rFonts w:ascii="Arial" w:cs="Arial" w:eastAsia="Arial" w:hAnsi="Arial"/>
          <w:sz w:val="15"/>
          <w:szCs w:val="15"/>
          <w:color w:val="auto"/>
        </w:rPr>
        <w:t>TM</w:t>
      </w:r>
      <w:r>
        <w:rPr>
          <w:rFonts w:ascii="Arial" w:cs="Arial" w:eastAsia="Arial" w:hAnsi="Arial"/>
          <w:sz w:val="18"/>
          <w:szCs w:val="18"/>
          <w:color w:val="auto"/>
        </w:rPr>
        <w:t xml:space="preserve"> ParpMatch and OncoCompass</w:t>
      </w:r>
      <w:r>
        <w:rPr>
          <w:rFonts w:ascii="Arial" w:cs="Arial" w:eastAsia="Arial" w:hAnsi="Arial"/>
          <w:sz w:val="15"/>
          <w:szCs w:val="15"/>
          <w:color w:val="auto"/>
        </w:rPr>
        <w:t>TM</w:t>
      </w:r>
      <w:r>
        <w:rPr>
          <w:rFonts w:ascii="Arial" w:cs="Arial" w:eastAsia="Arial" w:hAnsi="Arial"/>
          <w:sz w:val="18"/>
          <w:szCs w:val="18"/>
          <w:color w:val="auto"/>
        </w:rPr>
        <w:t xml:space="preserve"> ParpMatch, which we launched in 2018, are specifically designed to target critical genes associated with homologous recombination deficiency, or HRD. This product was selected by AstraZeneca for the Phase III clinical study of a drug candidate.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Products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also offer a number of Magnis BR-customized version of our key products. In addition, in November 2020, we entered into a development and commercialization agreement with Myriad Genetics, Inc. (NASDAQ: MYGN, “Myriad”) to in-license Myriad myChoice</w:t>
      </w:r>
      <w:r>
        <w:rPr>
          <w:rFonts w:ascii="Arial" w:cs="Arial" w:eastAsia="Arial" w:hAnsi="Arial"/>
          <w:sz w:val="15"/>
          <w:szCs w:val="15"/>
          <w:color w:val="auto"/>
        </w:rPr>
        <w:t>®</w:t>
      </w:r>
      <w:r>
        <w:rPr>
          <w:rFonts w:ascii="Arial" w:cs="Arial" w:eastAsia="Arial" w:hAnsi="Arial"/>
          <w:sz w:val="18"/>
          <w:szCs w:val="18"/>
          <w:color w:val="auto"/>
        </w:rPr>
        <w:t xml:space="preserve"> tumor testing in China. This test enables physicians to identify patients with tumors that have lost the ability to repair double-stranded DNA breaks, resulting in potentially increased susceptibility to DNA-damaging drugs such as platinum drugs or PARP inhibitors. We will perform this test for HRD testing in collaborative drug development studies and clinics in China.</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December 2020, we entered into an exclusive licensing agreement with Oncocyte Corporation (NYSE American: OCX) to in-license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DetermaRx</w:t>
      </w:r>
      <w:r>
        <w:rPr>
          <w:rFonts w:ascii="Arial" w:cs="Arial" w:eastAsia="Arial" w:hAnsi="Arial"/>
          <w:sz w:val="13"/>
          <w:szCs w:val="13"/>
          <w:color w:val="auto"/>
        </w:rPr>
        <w:t>™</w:t>
      </w:r>
      <w:r>
        <w:rPr>
          <w:rFonts w:ascii="Arial" w:cs="Arial" w:eastAsia="Arial" w:hAnsi="Arial"/>
          <w:sz w:val="16"/>
          <w:szCs w:val="16"/>
          <w:color w:val="auto"/>
        </w:rPr>
        <w:t>, a risk stratification test for early stage lung cancer patients, in China. This test enables physicians to identify stage I-IIA non-squamous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NSCLC patients at high-risk of recurrence despite ostensibly curative surgery, who may benefit from the addition of chemotherapy. We believe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DetermaRx</w:t>
      </w:r>
      <w:r>
        <w:rPr>
          <w:rFonts w:ascii="Arial" w:cs="Arial" w:eastAsia="Arial" w:hAnsi="Arial"/>
          <w:sz w:val="13"/>
          <w:szCs w:val="13"/>
          <w:color w:val="auto"/>
        </w:rPr>
        <w:t>™</w:t>
      </w:r>
      <w:r>
        <w:rPr>
          <w:rFonts w:ascii="Arial" w:cs="Arial" w:eastAsia="Arial" w:hAnsi="Arial"/>
          <w:sz w:val="16"/>
          <w:szCs w:val="16"/>
          <w:color w:val="auto"/>
        </w:rPr>
        <w:t xml:space="preserve"> complements our products for genetic testing and MRD detection (currently under R&amp;D) and could ultimately benefit Chinese early-stage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NSCLC patients by improving their survival and quality of life.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Certifications and Regulatory Approvals</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are committed to developing and maintaining high quality standards for our laboratory and products. As part of this effort, we voluntarily sought and obtained certifications from the relevant U.S. certifying authorities. We have also obtained the NCCL certification for our central laboratory and the NMPA approval for an NGS-based reagent kit. We are the only company in China that has an NGS laboratory that has been certified by the CLIA and the NCCL and accredited by the CAP. We are also the first company in China with an NMPA-approved NGS-based reagent kit. We believe these certifications and regulatory approvals demonstrate the efficiency, accuracy and consistency of our testing services.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U.S.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We aspire to become a world-class cancer diagnostics company, and we believe an integral step to achieving this goal is for our laboratory to</w:t>
      </w:r>
    </w:p>
    <w:p>
      <w:pPr>
        <w:spacing w:after="0" w:line="3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comply with world-class certification requirements. Accordingly, we voluntarily applied for and obtained the following certifications and accreditations:</w:t>
      </w:r>
    </w:p>
    <w:p>
      <w:pPr>
        <w:spacing w:after="0" w:line="23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i w:val="1"/>
          <w:iCs w:val="1"/>
          <w:color w:val="auto"/>
        </w:rPr>
        <w:t>CLIA certification</w:t>
      </w:r>
      <w:r>
        <w:rPr>
          <w:rFonts w:ascii="Arial" w:cs="Arial" w:eastAsia="Arial" w:hAnsi="Arial"/>
          <w:sz w:val="18"/>
          <w:szCs w:val="18"/>
          <w:color w:val="auto"/>
        </w:rPr>
        <w:t>. The Clinical Laboratory Improvement Amendments, or the CLIA, mandate specific standards in the areas of personnel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qualifications, administration, and participation in proficiency testing, patient test management, quality control, quality assurance and inspections. These standards are intended to ensure that CLIA-certified laboratories’ testing services are accurate, reliable and timely. In the U.S., clinical laboratories must be CLIA-certified by the Centers for Medicare &amp; Medicaid Services, or the CMS, before they can accept human samples for diagnostic testing. In January 2017, our central laboratory became the first NGS laboratory in China to be CLIA-certified—one and a half years ahead of our competitors. In October 2020, we successfully renewed our CLIA certification.</w:t>
      </w:r>
    </w:p>
    <w:p>
      <w:pPr>
        <w:spacing w:after="0" w:line="192"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b w:val="1"/>
          <w:bCs w:val="1"/>
          <w:i w:val="1"/>
          <w:iCs w:val="1"/>
          <w:color w:val="auto"/>
        </w:rPr>
        <w:t>CAP accreditation</w:t>
      </w:r>
      <w:r>
        <w:rPr>
          <w:rFonts w:ascii="Arial" w:cs="Arial" w:eastAsia="Arial" w:hAnsi="Arial"/>
          <w:sz w:val="18"/>
          <w:szCs w:val="18"/>
          <w:color w:val="auto"/>
        </w:rPr>
        <w:t>. The CAP accredits laboratories performing testing on specimens from human beings or animals, using methodologies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application within the expertise of the program. In the U.S., the CMS has deemed CAP standards to be equal to or more stringent than CLIA regulations. Our central laboratory was accredited by the CAP in February 2019. We filed application for renewal in October 2020, which is taking longer than expected due to the COVID-19 pandemic.</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Cancer genotyping is a nascent and rapidly evolving industry. Given the nature of the industry, relevant regulatory authorities in China, similar to their counterparts in the U.S., are constantly drafting and refining the regulatory requirements to implement quality management systems in the industry. We are one of the pioneers in China’s cancer genotyping industry, and have worked with regulators to share our insights on the nature of the NGS technology while seeking comprehensive approvals, setting high industry standards. We have obtained the following certifications in China:</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b w:val="1"/>
          <w:bCs w:val="1"/>
          <w:i w:val="1"/>
          <w:iCs w:val="1"/>
          <w:color w:val="auto"/>
        </w:rPr>
        <w:t>NCCL certification</w:t>
      </w:r>
      <w:r>
        <w:rPr>
          <w:rFonts w:ascii="Arial" w:cs="Arial" w:eastAsia="Arial" w:hAnsi="Arial"/>
          <w:sz w:val="18"/>
          <w:szCs w:val="18"/>
          <w:color w:val="auto"/>
        </w:rPr>
        <w:t>. The NCCL is the supervising authority of NGS laboratories in China. Our central laboratory in Guangzhou was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one of the only three NGS laboratories in China to have passed comprehensive review by the provincial centers for clinical laboratories led by the NCCL. In May 2018, we were certified by, and received NGS laboratory certification from, the Guangdong branch of the NCCL. We are in the process of renewing this certification, which expired in August 2020. The renewal of this certification is taking longer than expected due to the COVID-19 pandemic.</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b w:val="1"/>
          <w:bCs w:val="1"/>
          <w:i w:val="1"/>
          <w:iCs w:val="1"/>
          <w:color w:val="auto"/>
        </w:rPr>
        <w:t>NMPA approval</w:t>
      </w:r>
      <w:r>
        <w:rPr>
          <w:rFonts w:ascii="Arial" w:cs="Arial" w:eastAsia="Arial" w:hAnsi="Arial"/>
          <w:sz w:val="16"/>
          <w:szCs w:val="16"/>
          <w:color w:val="auto"/>
        </w:rPr>
        <w:t>. We are a pioneer in our industry in seeking and obtaining the NMPA approval. In September 2016, our OncoScreen</w:t>
      </w:r>
      <w:r>
        <w:rPr>
          <w:rFonts w:ascii="Arial" w:cs="Arial" w:eastAsia="Arial" w:hAnsi="Arial"/>
          <w:sz w:val="13"/>
          <w:szCs w:val="13"/>
          <w:color w:val="auto"/>
        </w:rPr>
        <w:t>TM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the first innovative medical device in the oncology application field that was approved to enter the “Innovative Device Pathway,” a fast-track review for innovative medical device, similar to the FDA’s “Breakthrough Device Program.” In July 2018, our OncoScreen</w:t>
      </w:r>
      <w:r>
        <w:rPr>
          <w:rFonts w:ascii="Arial" w:cs="Arial" w:eastAsia="Arial" w:hAnsi="Arial"/>
          <w:sz w:val="13"/>
          <w:szCs w:val="13"/>
          <w:color w:val="auto"/>
        </w:rPr>
        <w:t>TM</w:t>
      </w:r>
      <w:r>
        <w:rPr>
          <w:rFonts w:ascii="Arial" w:cs="Arial" w:eastAsia="Arial" w:hAnsi="Arial"/>
          <w:sz w:val="16"/>
          <w:szCs w:val="16"/>
          <w:color w:val="auto"/>
        </w:rPr>
        <w:t xml:space="preserve"> Focus was approved by the NMPA and became the NMPA’s first approved NGS-based reagent kit. We plan to seek approval for more reagent kits with the NMPA.</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Academic Collaborations</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seek to raise the profile of our technologies and products in China’s medical community and encourage their adoption through two principal channels: collaborations with oncology key opinion leaders—where we either collaborate with them and co-author papers or through studies conducted by oncology key opinion leaders using our products, both of which are published in leading academic journals; and collaboration with pharmaceutical companies—where we collaborate with them on targeted therapies and immunotherapies under clinical investigation.</w:t>
      </w:r>
    </w:p>
    <w:p>
      <w:pPr>
        <w:spacing w:after="0" w:line="15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Physicians look to peer experts and key opinion leaders in the medical community for guidance in research, diagnosis and treatment. We believe our relationships with oncology key opinion leaders, as well as the resulting peer-to-peer interaction they have generated, have been instrumental in raising the awareness of our technology platform and driving adoption of our products.</w:t>
      </w:r>
    </w:p>
    <w:p>
      <w:pPr>
        <w:spacing w:after="0" w:line="18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form academic collaborations with oncology key opinion leaders where our products are used in clinical trials and research studies on cancer targeted therapies and immunotherapies, the results of which have been published in over 100 peer-reviewed articles in the Journal of Clinical Oncology, Lancet Respiratory Medicine, Clinical Cancer Research, Journal of Thoracic Oncology, Annals of Oncology and other academic journals.</w:t>
      </w:r>
    </w:p>
    <w:p>
      <w:pPr>
        <w:spacing w:after="0" w:line="14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table below highlights some of our publication collaborations with influential oncology key opinion leaders based on these clinical trials and research studies: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Collaborating Key Opinion Leaders</w:t>
            </w:r>
          </w:p>
        </w:tc>
        <w:tc>
          <w:tcPr>
            <w:tcW w:w="160" w:type="dxa"/>
            <w:vAlign w:val="bottom"/>
          </w:tcPr>
          <w:p>
            <w:pPr>
              <w:spacing w:after="0"/>
              <w:rPr>
                <w:sz w:val="16"/>
                <w:szCs w:val="16"/>
                <w:color w:val="auto"/>
              </w:rPr>
            </w:pPr>
          </w:p>
        </w:tc>
        <w:tc>
          <w:tcPr>
            <w:tcW w:w="1240" w:type="dxa"/>
            <w:vAlign w:val="bottom"/>
          </w:tcPr>
          <w:p>
            <w:pPr>
              <w:ind w:left="320"/>
              <w:spacing w:after="0"/>
              <w:rPr>
                <w:sz w:val="20"/>
                <w:szCs w:val="20"/>
                <w:color w:val="auto"/>
              </w:rPr>
            </w:pPr>
            <w:r>
              <w:rPr>
                <w:rFonts w:ascii="Arial" w:cs="Arial" w:eastAsia="Arial" w:hAnsi="Arial"/>
                <w:sz w:val="14"/>
                <w:szCs w:val="14"/>
                <w:b w:val="1"/>
                <w:bCs w:val="1"/>
                <w:color w:val="auto"/>
              </w:rPr>
              <w:t>Journal Title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gridSpan w:val="2"/>
          </w:tcPr>
          <w:p>
            <w:pPr>
              <w:ind w:left="1380"/>
              <w:spacing w:after="0"/>
              <w:rPr>
                <w:sz w:val="20"/>
                <w:szCs w:val="20"/>
                <w:color w:val="auto"/>
              </w:rPr>
            </w:pPr>
            <w:r>
              <w:rPr>
                <w:rFonts w:ascii="Arial" w:cs="Arial" w:eastAsia="Arial" w:hAnsi="Arial"/>
                <w:sz w:val="14"/>
                <w:szCs w:val="14"/>
                <w:b w:val="1"/>
                <w:bCs w:val="1"/>
                <w:color w:val="auto"/>
              </w:rPr>
              <w:t>Article Title</w:t>
            </w:r>
          </w:p>
        </w:tc>
        <w:tc>
          <w:tcPr>
            <w:tcW w:w="1760" w:type="dxa"/>
            <w:vAlign w:val="bottom"/>
          </w:tcPr>
          <w:p>
            <w:pPr>
              <w:ind w:left="460"/>
              <w:spacing w:after="0"/>
              <w:rPr>
                <w:sz w:val="20"/>
                <w:szCs w:val="20"/>
                <w:color w:val="auto"/>
              </w:rPr>
            </w:pPr>
            <w:r>
              <w:rPr>
                <w:rFonts w:ascii="Arial" w:cs="Arial" w:eastAsia="Arial" w:hAnsi="Arial"/>
                <w:sz w:val="14"/>
                <w:szCs w:val="14"/>
                <w:b w:val="1"/>
                <w:bCs w:val="1"/>
                <w:color w:val="auto"/>
              </w:rPr>
              <w:t>Our Products</w:t>
            </w:r>
          </w:p>
        </w:tc>
      </w:tr>
      <w:tr>
        <w:trPr>
          <w:trHeight w:val="175"/>
        </w:trPr>
        <w:tc>
          <w:tcPr>
            <w:tcW w:w="22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1"/>
              </w:rPr>
              <w:t>Yi-Long Wu, head of the Lung</w:t>
            </w:r>
          </w:p>
        </w:tc>
        <w:tc>
          <w:tcPr>
            <w:tcW w:w="1700" w:type="dxa"/>
            <w:vAlign w:val="bottom"/>
          </w:tcPr>
          <w:p>
            <w:pPr>
              <w:ind w:left="60"/>
              <w:spacing w:after="0" w:line="176" w:lineRule="exact"/>
              <w:rPr>
                <w:sz w:val="20"/>
                <w:szCs w:val="20"/>
                <w:color w:val="auto"/>
              </w:rPr>
            </w:pPr>
            <w:r>
              <w:rPr>
                <w:rFonts w:ascii="Arial" w:cs="Arial" w:eastAsia="Arial" w:hAnsi="Arial"/>
                <w:sz w:val="18"/>
                <w:szCs w:val="18"/>
                <w:color w:val="auto"/>
                <w:w w:val="98"/>
              </w:rPr>
              <w:t>Research Institute of</w:t>
            </w:r>
          </w:p>
        </w:tc>
        <w:tc>
          <w:tcPr>
            <w:tcW w:w="160" w:type="dxa"/>
            <w:vAlign w:val="bottom"/>
          </w:tcPr>
          <w:p>
            <w:pPr>
              <w:spacing w:after="0"/>
              <w:rPr>
                <w:sz w:val="15"/>
                <w:szCs w:val="15"/>
                <w:color w:val="auto"/>
              </w:rPr>
            </w:pPr>
          </w:p>
        </w:tc>
        <w:tc>
          <w:tcPr>
            <w:tcW w:w="12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Clinical Cancer</w:t>
            </w:r>
          </w:p>
        </w:tc>
        <w:tc>
          <w:tcPr>
            <w:tcW w:w="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5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i w:val="1"/>
                <w:iCs w:val="1"/>
                <w:color w:val="auto"/>
              </w:rPr>
              <w:t>Acquired MET Y1248H and</w:t>
            </w:r>
          </w:p>
        </w:tc>
        <w:tc>
          <w:tcPr>
            <w:tcW w:w="140" w:type="dxa"/>
            <w:vAlign w:val="bottom"/>
          </w:tcPr>
          <w:p>
            <w:pPr>
              <w:spacing w:after="0"/>
              <w:rPr>
                <w:sz w:val="15"/>
                <w:szCs w:val="15"/>
                <w:color w:val="auto"/>
              </w:rPr>
            </w:pPr>
          </w:p>
        </w:tc>
        <w:tc>
          <w:tcPr>
            <w:tcW w:w="17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9"/>
              </w:rPr>
              <w:t>Our OncoCompass</w:t>
            </w:r>
            <w:r>
              <w:rPr>
                <w:rFonts w:ascii="Arial" w:cs="Arial" w:eastAsia="Arial" w:hAnsi="Arial"/>
                <w:sz w:val="15"/>
                <w:szCs w:val="15"/>
                <w:color w:val="auto"/>
                <w:w w:val="99"/>
              </w:rPr>
              <w:t>TM</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Guangdong Provincial People’s Hospital, former</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Research</w:t>
            </w:r>
          </w:p>
        </w:tc>
        <w:tc>
          <w:tcPr>
            <w:tcW w:w="200" w:type="dxa"/>
            <w:vAlign w:val="bottom"/>
          </w:tcPr>
          <w:p>
            <w:pPr>
              <w:spacing w:after="0"/>
              <w:rPr>
                <w:sz w:val="18"/>
                <w:szCs w:val="18"/>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i w:val="1"/>
                <w:iCs w:val="1"/>
                <w:color w:val="auto"/>
              </w:rPr>
              <w:t>D1246N mutations mediate</w:t>
            </w:r>
          </w:p>
        </w:tc>
        <w:tc>
          <w:tcPr>
            <w:tcW w:w="1760" w:type="dxa"/>
            <w:vAlign w:val="bottom"/>
          </w:tcPr>
          <w:p>
            <w:pPr>
              <w:spacing w:after="0"/>
              <w:rPr>
                <w:sz w:val="20"/>
                <w:szCs w:val="20"/>
                <w:color w:val="auto"/>
              </w:rPr>
            </w:pPr>
            <w:r>
              <w:rPr>
                <w:rFonts w:ascii="Arial" w:cs="Arial" w:eastAsia="Arial" w:hAnsi="Arial"/>
                <w:sz w:val="18"/>
                <w:szCs w:val="18"/>
                <w:color w:val="auto"/>
              </w:rPr>
              <w:t>Target and</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w w:val="98"/>
              </w:rPr>
              <w:t>president of Chinese Society of Clinical Oncology</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i w:val="1"/>
                <w:iCs w:val="1"/>
                <w:color w:val="auto"/>
              </w:rPr>
              <w:t>resistance to MET inhibitors</w:t>
            </w:r>
          </w:p>
        </w:tc>
        <w:tc>
          <w:tcPr>
            <w:tcW w:w="1760" w:type="dxa"/>
            <w:vAlign w:val="bottom"/>
          </w:tcPr>
          <w:p>
            <w:pPr>
              <w:spacing w:after="0"/>
              <w:rPr>
                <w:sz w:val="20"/>
                <w:szCs w:val="20"/>
                <w:color w:val="auto"/>
              </w:rPr>
            </w:pPr>
            <w:r>
              <w:rPr>
                <w:rFonts w:ascii="Arial" w:cs="Arial" w:eastAsia="Arial" w:hAnsi="Arial"/>
                <w:sz w:val="18"/>
                <w:szCs w:val="18"/>
                <w:color w:val="auto"/>
              </w:rPr>
              <w:t>OncoScreen were</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w w:val="98"/>
              </w:rPr>
              <w:t>(CSCO), president of Chinese Thoracic Oncology</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i w:val="1"/>
                <w:iCs w:val="1"/>
                <w:color w:val="auto"/>
              </w:rPr>
              <w:t>in non-small cell lung cancer</w:t>
            </w:r>
          </w:p>
        </w:tc>
        <w:tc>
          <w:tcPr>
            <w:tcW w:w="1760" w:type="dxa"/>
            <w:vAlign w:val="bottom"/>
          </w:tcPr>
          <w:p>
            <w:pPr>
              <w:spacing w:after="0"/>
              <w:rPr>
                <w:sz w:val="20"/>
                <w:szCs w:val="20"/>
                <w:color w:val="auto"/>
              </w:rPr>
            </w:pPr>
            <w:r>
              <w:rPr>
                <w:rFonts w:ascii="Arial" w:cs="Arial" w:eastAsia="Arial" w:hAnsi="Arial"/>
                <w:sz w:val="18"/>
                <w:szCs w:val="18"/>
                <w:color w:val="auto"/>
              </w:rPr>
              <w:t>chosen in the</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Group (CTONG)</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biomarker study of</w:t>
            </w:r>
          </w:p>
        </w:tc>
      </w:tr>
      <w:tr>
        <w:trPr>
          <w:trHeight w:val="216"/>
        </w:trPr>
        <w:tc>
          <w:tcPr>
            <w:tcW w:w="2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the phase II trial of</w:t>
            </w:r>
          </w:p>
        </w:tc>
      </w:tr>
      <w:tr>
        <w:trPr>
          <w:trHeight w:val="216"/>
        </w:trPr>
        <w:tc>
          <w:tcPr>
            <w:tcW w:w="2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INC280, an</w:t>
            </w:r>
          </w:p>
        </w:tc>
      </w:tr>
      <w:tr>
        <w:trPr>
          <w:trHeight w:val="216"/>
        </w:trPr>
        <w:tc>
          <w:tcPr>
            <w:tcW w:w="2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innovative MET</w:t>
            </w:r>
          </w:p>
        </w:tc>
      </w:tr>
      <w:tr>
        <w:trPr>
          <w:trHeight w:val="216"/>
        </w:trPr>
        <w:tc>
          <w:tcPr>
            <w:tcW w:w="2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inhibitor developed</w:t>
            </w:r>
          </w:p>
        </w:tc>
      </w:tr>
      <w:tr>
        <w:trPr>
          <w:trHeight w:val="230"/>
        </w:trPr>
        <w:tc>
          <w:tcPr>
            <w:tcW w:w="2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by Novartis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Jie Wang, head of department of medicine in the</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Lancet</w:t>
            </w:r>
          </w:p>
        </w:tc>
        <w:tc>
          <w:tcPr>
            <w:tcW w:w="200" w:type="dxa"/>
            <w:vAlign w:val="bottom"/>
          </w:tcPr>
          <w:p>
            <w:pPr>
              <w:spacing w:after="0"/>
              <w:rPr>
                <w:sz w:val="18"/>
                <w:szCs w:val="18"/>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i w:val="1"/>
                <w:iCs w:val="1"/>
                <w:color w:val="auto"/>
              </w:rPr>
              <w:t>Detection of EGFR mutations</w:t>
            </w:r>
          </w:p>
        </w:tc>
        <w:tc>
          <w:tcPr>
            <w:tcW w:w="1760" w:type="dxa"/>
            <w:vAlign w:val="bottom"/>
          </w:tcPr>
          <w:p>
            <w:pPr>
              <w:spacing w:after="0"/>
              <w:rPr>
                <w:sz w:val="20"/>
                <w:szCs w:val="20"/>
                <w:color w:val="auto"/>
              </w:rPr>
            </w:pPr>
            <w:r>
              <w:rPr>
                <w:rFonts w:ascii="Arial" w:cs="Arial" w:eastAsia="Arial" w:hAnsi="Arial"/>
                <w:sz w:val="18"/>
                <w:szCs w:val="18"/>
                <w:color w:val="auto"/>
                <w:w w:val="99"/>
              </w:rPr>
              <w:t>Our OncoCompass</w:t>
            </w:r>
            <w:r>
              <w:rPr>
                <w:rFonts w:ascii="Arial" w:cs="Arial" w:eastAsia="Arial" w:hAnsi="Arial"/>
                <w:sz w:val="15"/>
                <w:szCs w:val="15"/>
                <w:color w:val="auto"/>
                <w:w w:val="99"/>
              </w:rPr>
              <w:t>TM</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Cancer Hospital of Chinese Academy of Medical</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Respiratory</w:t>
            </w:r>
          </w:p>
        </w:tc>
        <w:tc>
          <w:tcPr>
            <w:tcW w:w="200" w:type="dxa"/>
            <w:vAlign w:val="bottom"/>
          </w:tcPr>
          <w:p>
            <w:pPr>
              <w:spacing w:after="0"/>
              <w:rPr>
                <w:sz w:val="18"/>
                <w:szCs w:val="18"/>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i w:val="1"/>
                <w:iCs w:val="1"/>
                <w:color w:val="auto"/>
              </w:rPr>
              <w:t>in plasma circulating tumor</w:t>
            </w:r>
          </w:p>
        </w:tc>
        <w:tc>
          <w:tcPr>
            <w:tcW w:w="1760" w:type="dxa"/>
            <w:vAlign w:val="bottom"/>
          </w:tcPr>
          <w:p>
            <w:pPr>
              <w:spacing w:after="0"/>
              <w:rPr>
                <w:sz w:val="20"/>
                <w:szCs w:val="20"/>
                <w:color w:val="auto"/>
              </w:rPr>
            </w:pPr>
            <w:r>
              <w:rPr>
                <w:rFonts w:ascii="Arial" w:cs="Arial" w:eastAsia="Arial" w:hAnsi="Arial"/>
                <w:sz w:val="18"/>
                <w:szCs w:val="18"/>
                <w:color w:val="auto"/>
              </w:rPr>
              <w:t>Target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Sciences, vice president of CSCO</w:t>
            </w: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Medicine</w:t>
            </w:r>
          </w:p>
        </w:tc>
        <w:tc>
          <w:tcPr>
            <w:tcW w:w="200" w:type="dxa"/>
            <w:vAlign w:val="bottom"/>
          </w:tcPr>
          <w:p>
            <w:pPr>
              <w:spacing w:after="0"/>
              <w:rPr>
                <w:sz w:val="18"/>
                <w:szCs w:val="18"/>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i w:val="1"/>
                <w:iCs w:val="1"/>
                <w:color w:val="auto"/>
              </w:rPr>
              <w:t>DNA as a selection criterion</w:t>
            </w:r>
          </w:p>
        </w:tc>
        <w:tc>
          <w:tcPr>
            <w:tcW w:w="1760" w:type="dxa"/>
            <w:vAlign w:val="bottom"/>
          </w:tcPr>
          <w:p>
            <w:pPr>
              <w:spacing w:after="0"/>
              <w:rPr>
                <w:sz w:val="20"/>
                <w:szCs w:val="20"/>
                <w:color w:val="auto"/>
              </w:rPr>
            </w:pPr>
            <w:r>
              <w:rPr>
                <w:rFonts w:ascii="Arial" w:cs="Arial" w:eastAsia="Arial" w:hAnsi="Arial"/>
                <w:sz w:val="18"/>
                <w:szCs w:val="18"/>
                <w:color w:val="auto"/>
              </w:rPr>
              <w:t>was used for the</w:t>
            </w:r>
          </w:p>
        </w:tc>
      </w:tr>
      <w:tr>
        <w:trPr>
          <w:trHeight w:val="216"/>
        </w:trPr>
        <w:tc>
          <w:tcPr>
            <w:tcW w:w="2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i w:val="1"/>
                <w:iCs w:val="1"/>
                <w:color w:val="auto"/>
              </w:rPr>
              <w:t>for first-line Gefitinib</w:t>
            </w:r>
          </w:p>
        </w:tc>
        <w:tc>
          <w:tcPr>
            <w:tcW w:w="1760" w:type="dxa"/>
            <w:vAlign w:val="bottom"/>
          </w:tcPr>
          <w:p>
            <w:pPr>
              <w:spacing w:after="0"/>
              <w:rPr>
                <w:sz w:val="20"/>
                <w:szCs w:val="20"/>
                <w:color w:val="auto"/>
              </w:rPr>
            </w:pPr>
            <w:r>
              <w:rPr>
                <w:rFonts w:ascii="Arial" w:cs="Arial" w:eastAsia="Arial" w:hAnsi="Arial"/>
                <w:sz w:val="18"/>
                <w:szCs w:val="18"/>
                <w:color w:val="auto"/>
              </w:rPr>
              <w:t>NGS-based cancer</w:t>
            </w:r>
          </w:p>
        </w:tc>
      </w:tr>
      <w:tr>
        <w:trPr>
          <w:trHeight w:val="216"/>
        </w:trPr>
        <w:tc>
          <w:tcPr>
            <w:tcW w:w="2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i w:val="1"/>
                <w:iCs w:val="1"/>
                <w:color w:val="auto"/>
              </w:rPr>
              <w:t>treatment in patients with</w:t>
            </w:r>
          </w:p>
        </w:tc>
        <w:tc>
          <w:tcPr>
            <w:tcW w:w="1760" w:type="dxa"/>
            <w:vAlign w:val="bottom"/>
          </w:tcPr>
          <w:p>
            <w:pPr>
              <w:spacing w:after="0"/>
              <w:rPr>
                <w:sz w:val="20"/>
                <w:szCs w:val="20"/>
                <w:color w:val="auto"/>
              </w:rPr>
            </w:pPr>
            <w:r>
              <w:rPr>
                <w:rFonts w:ascii="Arial" w:cs="Arial" w:eastAsia="Arial" w:hAnsi="Arial"/>
                <w:sz w:val="18"/>
                <w:szCs w:val="18"/>
                <w:color w:val="auto"/>
              </w:rPr>
              <w:t>therapy selection of</w:t>
            </w:r>
          </w:p>
        </w:tc>
      </w:tr>
      <w:tr>
        <w:trPr>
          <w:trHeight w:val="216"/>
        </w:trPr>
        <w:tc>
          <w:tcPr>
            <w:tcW w:w="2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i w:val="1"/>
                <w:iCs w:val="1"/>
                <w:color w:val="auto"/>
              </w:rPr>
              <w:t>advanced lung</w:t>
            </w:r>
          </w:p>
        </w:tc>
        <w:tc>
          <w:tcPr>
            <w:tcW w:w="1760" w:type="dxa"/>
            <w:vAlign w:val="bottom"/>
          </w:tcPr>
          <w:p>
            <w:pPr>
              <w:spacing w:after="0"/>
              <w:rPr>
                <w:sz w:val="20"/>
                <w:szCs w:val="20"/>
                <w:color w:val="auto"/>
              </w:rPr>
            </w:pPr>
            <w:r>
              <w:rPr>
                <w:rFonts w:ascii="Arial" w:cs="Arial" w:eastAsia="Arial" w:hAnsi="Arial"/>
                <w:sz w:val="18"/>
                <w:szCs w:val="18"/>
                <w:color w:val="auto"/>
              </w:rPr>
              <w:t>plasma ctDNA in the</w:t>
            </w:r>
          </w:p>
        </w:tc>
      </w:tr>
      <w:tr>
        <w:trPr>
          <w:trHeight w:val="216"/>
        </w:trPr>
        <w:tc>
          <w:tcPr>
            <w:tcW w:w="2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i w:val="1"/>
                <w:iCs w:val="1"/>
                <w:color w:val="auto"/>
              </w:rPr>
              <w:t>adenocarcinoma</w:t>
            </w:r>
          </w:p>
        </w:tc>
        <w:tc>
          <w:tcPr>
            <w:tcW w:w="1760" w:type="dxa"/>
            <w:vAlign w:val="bottom"/>
          </w:tcPr>
          <w:p>
            <w:pPr>
              <w:spacing w:after="0"/>
              <w:rPr>
                <w:sz w:val="20"/>
                <w:szCs w:val="20"/>
                <w:color w:val="auto"/>
              </w:rPr>
            </w:pPr>
            <w:r>
              <w:rPr>
                <w:rFonts w:ascii="Arial" w:cs="Arial" w:eastAsia="Arial" w:hAnsi="Arial"/>
                <w:sz w:val="18"/>
                <w:szCs w:val="18"/>
                <w:color w:val="auto"/>
              </w:rPr>
              <w:t>study</w:t>
            </w:r>
          </w:p>
        </w:tc>
      </w:tr>
      <w:tr>
        <w:trPr>
          <w:trHeight w:val="216"/>
        </w:trPr>
        <w:tc>
          <w:tcPr>
            <w:tcW w:w="2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i w:val="1"/>
                <w:iCs w:val="1"/>
                <w:color w:val="auto"/>
              </w:rPr>
              <w:t>(BENEFIT): a phase 2,</w:t>
            </w:r>
          </w:p>
        </w:tc>
        <w:tc>
          <w:tcPr>
            <w:tcW w:w="176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i w:val="1"/>
                <w:iCs w:val="1"/>
                <w:color w:val="auto"/>
              </w:rPr>
              <w:t>single-arm, multicenter</w:t>
            </w:r>
          </w:p>
        </w:tc>
        <w:tc>
          <w:tcPr>
            <w:tcW w:w="176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i w:val="1"/>
                <w:iCs w:val="1"/>
                <w:color w:val="auto"/>
              </w:rPr>
              <w:t>clinical trial</w:t>
            </w:r>
          </w:p>
        </w:tc>
        <w:tc>
          <w:tcPr>
            <w:tcW w:w="1760" w:type="dxa"/>
            <w:vAlign w:val="bottom"/>
          </w:tcPr>
          <w:p>
            <w:pPr>
              <w:spacing w:after="0"/>
              <w:rPr>
                <w:sz w:val="20"/>
                <w:szCs w:val="20"/>
                <w:color w:val="auto"/>
              </w:rPr>
            </w:pPr>
          </w:p>
        </w:tc>
      </w:tr>
      <w:tr>
        <w:trPr>
          <w:trHeight w:val="378"/>
        </w:trPr>
        <w:tc>
          <w:tcPr>
            <w:tcW w:w="2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Collaborating Key Opinion Leaders</w:t>
            </w:r>
          </w:p>
        </w:tc>
        <w:tc>
          <w:tcPr>
            <w:tcW w:w="14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Journal Title</w:t>
            </w:r>
          </w:p>
        </w:tc>
        <w:tc>
          <w:tcPr>
            <w:tcW w:w="100" w:type="dxa"/>
            <w:vAlign w:val="bottom"/>
          </w:tcPr>
          <w:p>
            <w:pPr>
              <w:spacing w:after="0"/>
              <w:rPr>
                <w:sz w:val="15"/>
                <w:szCs w:val="15"/>
                <w:color w:val="auto"/>
              </w:rPr>
            </w:pPr>
          </w:p>
        </w:tc>
        <w:tc>
          <w:tcPr>
            <w:tcW w:w="386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Article Title</w:t>
            </w:r>
          </w:p>
        </w:tc>
        <w:tc>
          <w:tcPr>
            <w:tcW w:w="140" w:type="dxa"/>
            <w:vAlign w:val="bottom"/>
          </w:tcPr>
          <w:p>
            <w:pPr>
              <w:spacing w:after="0"/>
              <w:rPr>
                <w:sz w:val="15"/>
                <w:szCs w:val="15"/>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Our Products</w:t>
            </w:r>
          </w:p>
        </w:tc>
      </w:tr>
      <w:tr>
        <w:trPr>
          <w:trHeight w:val="296"/>
        </w:trPr>
        <w:tc>
          <w:tcPr>
            <w:tcW w:w="4280" w:type="dxa"/>
            <w:vAlign w:val="bottom"/>
            <w:gridSpan w:val="2"/>
          </w:tcPr>
          <w:p>
            <w:pPr>
              <w:spacing w:after="0"/>
              <w:rPr>
                <w:sz w:val="20"/>
                <w:szCs w:val="20"/>
                <w:color w:val="auto"/>
              </w:rPr>
            </w:pPr>
            <w:r>
              <w:rPr>
                <w:rFonts w:ascii="Arial" w:cs="Arial" w:eastAsia="Arial" w:hAnsi="Arial"/>
                <w:sz w:val="18"/>
                <w:szCs w:val="18"/>
                <w:color w:val="auto"/>
                <w:w w:val="92"/>
              </w:rPr>
              <w:t>Qing Zhou, deputy head of the Lung Research Institute of</w:t>
            </w:r>
          </w:p>
        </w:tc>
        <w:tc>
          <w:tcPr>
            <w:tcW w:w="1540" w:type="dxa"/>
            <w:vAlign w:val="bottom"/>
            <w:gridSpan w:val="2"/>
          </w:tcPr>
          <w:p>
            <w:pPr>
              <w:spacing w:after="0"/>
              <w:rPr>
                <w:sz w:val="20"/>
                <w:szCs w:val="20"/>
                <w:color w:val="auto"/>
              </w:rPr>
            </w:pPr>
            <w:r>
              <w:rPr>
                <w:rFonts w:ascii="Arial" w:cs="Arial" w:eastAsia="Arial" w:hAnsi="Arial"/>
                <w:sz w:val="18"/>
                <w:szCs w:val="18"/>
                <w:color w:val="auto"/>
              </w:rPr>
              <w:t>EBioMedicine</w:t>
            </w:r>
          </w:p>
        </w:tc>
        <w:tc>
          <w:tcPr>
            <w:tcW w:w="3860" w:type="dxa"/>
            <w:vAlign w:val="bottom"/>
          </w:tcPr>
          <w:p>
            <w:pPr>
              <w:spacing w:after="0"/>
              <w:rPr>
                <w:sz w:val="20"/>
                <w:szCs w:val="20"/>
                <w:color w:val="auto"/>
              </w:rPr>
            </w:pPr>
            <w:r>
              <w:rPr>
                <w:rFonts w:ascii="Arial" w:cs="Arial" w:eastAsia="Arial" w:hAnsi="Arial"/>
                <w:sz w:val="18"/>
                <w:szCs w:val="18"/>
                <w:i w:val="1"/>
                <w:iCs w:val="1"/>
                <w:color w:val="auto"/>
              </w:rPr>
              <w:t>Analysis of resistance</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Our</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Guangdong Provincial People’s Hospital, secretary of</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mechanisms to Abivertinib, a</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OncoScreen</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CTONG</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third-generation EGFR</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w w:val="95"/>
              </w:rPr>
              <w:t>was selected in</w:t>
            </w:r>
          </w:p>
        </w:tc>
      </w:tr>
      <w:tr>
        <w:trPr>
          <w:trHeight w:val="216"/>
        </w:trPr>
        <w:tc>
          <w:tcPr>
            <w:tcW w:w="2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tyrosine kinase inhibitor, in</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the biomarker</w:t>
            </w:r>
          </w:p>
        </w:tc>
      </w:tr>
      <w:tr>
        <w:trPr>
          <w:trHeight w:val="216"/>
        </w:trPr>
        <w:tc>
          <w:tcPr>
            <w:tcW w:w="2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patients with EGFR T790M-</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study</w:t>
            </w:r>
          </w:p>
        </w:tc>
      </w:tr>
      <w:tr>
        <w:trPr>
          <w:trHeight w:val="216"/>
        </w:trPr>
        <w:tc>
          <w:tcPr>
            <w:tcW w:w="2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positive non-small cell lung</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cancer from a phase I trial</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107"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line="279" w:lineRule="auto"/>
        <w:rPr>
          <w:sz w:val="20"/>
          <w:szCs w:val="20"/>
          <w:color w:val="auto"/>
        </w:rPr>
      </w:pPr>
      <w:r>
        <w:rPr>
          <w:rFonts w:ascii="Arial" w:cs="Arial" w:eastAsia="Arial" w:hAnsi="Arial"/>
          <w:sz w:val="17"/>
          <w:szCs w:val="17"/>
          <w:color w:val="auto"/>
        </w:rPr>
        <w:t>Ying Yuan, deputy head of department of medicine of the Journal of Second Affiliated Hospital of Zhejiang University School Molecular of Medicine, member and secretary of the Committee of Diagnostics Colorectal Cancer of China Anti-Cancer Association</w:t>
      </w:r>
    </w:p>
    <w:p>
      <w:pPr>
        <w:spacing w:after="0" w:line="20" w:lineRule="exact"/>
        <w:rPr>
          <w:sz w:val="20"/>
          <w:szCs w:val="20"/>
          <w:color w:val="auto"/>
        </w:rPr>
      </w:pPr>
      <w:r>
        <w:rPr>
          <w:sz w:val="20"/>
          <w:szCs w:val="20"/>
          <w:color w:val="auto"/>
        </w:rPr>
        <w:br w:type="column"/>
      </w:r>
    </w:p>
    <w:p>
      <w:pPr>
        <w:spacing w:after="0"/>
        <w:tabs>
          <w:tab w:leader="none" w:pos="3980" w:val="left"/>
        </w:tabs>
        <w:rPr>
          <w:sz w:val="20"/>
          <w:szCs w:val="20"/>
          <w:color w:val="auto"/>
        </w:rPr>
      </w:pPr>
      <w:r>
        <w:rPr>
          <w:rFonts w:ascii="Arial" w:cs="Arial" w:eastAsia="Arial" w:hAnsi="Arial"/>
          <w:sz w:val="18"/>
          <w:szCs w:val="18"/>
          <w:i w:val="1"/>
          <w:iCs w:val="1"/>
          <w:color w:val="auto"/>
        </w:rPr>
        <w:t>A novel and reliable method</w:t>
      </w:r>
      <w:r>
        <w:rPr>
          <w:sz w:val="20"/>
          <w:szCs w:val="20"/>
          <w:color w:val="auto"/>
        </w:rPr>
        <w:tab/>
      </w:r>
      <w:r>
        <w:rPr>
          <w:rFonts w:ascii="Arial" w:cs="Arial" w:eastAsia="Arial" w:hAnsi="Arial"/>
          <w:sz w:val="16"/>
          <w:szCs w:val="16"/>
          <w:color w:val="auto"/>
        </w:rPr>
        <w:t>Our ColonCore</w:t>
      </w:r>
    </w:p>
    <w:p>
      <w:pPr>
        <w:spacing w:after="0" w:line="2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i w:val="1"/>
          <w:iCs w:val="1"/>
          <w:color w:val="auto"/>
        </w:rPr>
        <w:t>to detect microsatellite</w:t>
      </w:r>
      <w:r>
        <w:rPr>
          <w:sz w:val="20"/>
          <w:szCs w:val="20"/>
          <w:color w:val="auto"/>
        </w:rPr>
        <w:tab/>
      </w:r>
      <w:r>
        <w:rPr>
          <w:rFonts w:ascii="Arial" w:cs="Arial" w:eastAsia="Arial" w:hAnsi="Arial"/>
          <w:sz w:val="15"/>
          <w:szCs w:val="15"/>
          <w:color w:val="auto"/>
        </w:rPr>
        <w:t>and the</w:t>
      </w:r>
    </w:p>
    <w:p>
      <w:pPr>
        <w:spacing w:after="0" w:line="9"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i w:val="1"/>
          <w:iCs w:val="1"/>
          <w:color w:val="auto"/>
        </w:rPr>
        <w:t>instability in colorectal</w:t>
      </w:r>
      <w:r>
        <w:rPr>
          <w:sz w:val="20"/>
          <w:szCs w:val="20"/>
          <w:color w:val="auto"/>
        </w:rPr>
        <w:tab/>
      </w:r>
      <w:r>
        <w:rPr>
          <w:rFonts w:ascii="Arial" w:cs="Arial" w:eastAsia="Arial" w:hAnsi="Arial"/>
          <w:sz w:val="16"/>
          <w:szCs w:val="16"/>
          <w:color w:val="auto"/>
        </w:rPr>
        <w:t>corresponding</w:t>
      </w:r>
    </w:p>
    <w:p>
      <w:pPr>
        <w:spacing w:after="0" w:line="9"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i w:val="1"/>
          <w:iCs w:val="1"/>
          <w:color w:val="auto"/>
        </w:rPr>
        <w:t>cancer by next-generation</w:t>
      </w:r>
      <w:r>
        <w:rPr>
          <w:sz w:val="20"/>
          <w:szCs w:val="20"/>
          <w:color w:val="auto"/>
        </w:rPr>
        <w:tab/>
      </w:r>
      <w:r>
        <w:rPr>
          <w:rFonts w:ascii="Arial" w:cs="Arial" w:eastAsia="Arial" w:hAnsi="Arial"/>
          <w:sz w:val="17"/>
          <w:szCs w:val="17"/>
          <w:color w:val="auto"/>
        </w:rPr>
        <w:t>MSI calling</w:t>
      </w:r>
    </w:p>
    <w:p>
      <w:pPr>
        <w:spacing w:after="0" w:line="9" w:lineRule="exact"/>
        <w:rPr>
          <w:sz w:val="20"/>
          <w:szCs w:val="20"/>
          <w:color w:val="auto"/>
        </w:rPr>
      </w:pPr>
    </w:p>
    <w:p>
      <w:pPr>
        <w:spacing w:after="0"/>
        <w:tabs>
          <w:tab w:leader="none" w:pos="3980" w:val="left"/>
        </w:tabs>
        <w:rPr>
          <w:sz w:val="20"/>
          <w:szCs w:val="20"/>
          <w:color w:val="auto"/>
        </w:rPr>
      </w:pPr>
      <w:r>
        <w:rPr>
          <w:rFonts w:ascii="Arial" w:cs="Arial" w:eastAsia="Arial" w:hAnsi="Arial"/>
          <w:sz w:val="16"/>
          <w:szCs w:val="16"/>
          <w:i w:val="1"/>
          <w:iCs w:val="1"/>
          <w:color w:val="auto"/>
        </w:rPr>
        <w:t>sequencing</w:t>
      </w:r>
      <w:r>
        <w:rPr>
          <w:sz w:val="20"/>
          <w:szCs w:val="20"/>
          <w:color w:val="auto"/>
        </w:rPr>
        <w:tab/>
      </w:r>
      <w:r>
        <w:rPr>
          <w:rFonts w:ascii="Arial" w:cs="Arial" w:eastAsia="Arial" w:hAnsi="Arial"/>
          <w:sz w:val="16"/>
          <w:szCs w:val="16"/>
          <w:color w:val="auto"/>
        </w:rPr>
        <w:t>algorithm were</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used in the</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validation</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study</w:t>
      </w:r>
    </w:p>
    <w:p>
      <w:pPr>
        <w:spacing w:after="0" w:line="116" w:lineRule="exact"/>
        <w:rPr>
          <w:sz w:val="20"/>
          <w:szCs w:val="20"/>
          <w:color w:val="auto"/>
        </w:rPr>
      </w:pPr>
    </w:p>
    <w:p>
      <w:pPr>
        <w:sectPr>
          <w:pgSz w:w="11900" w:h="16838" w:orient="portrait"/>
          <w:cols w:equalWidth="0" w:num="2">
            <w:col w:w="5260" w:space="680"/>
            <w:col w:w="52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Zhenghao Cai, general surgeon residing in Ruijin</w:t>
            </w:r>
          </w:p>
        </w:tc>
        <w:tc>
          <w:tcPr>
            <w:tcW w:w="1500" w:type="dxa"/>
            <w:vAlign w:val="bottom"/>
          </w:tcPr>
          <w:p>
            <w:pPr>
              <w:ind w:left="180"/>
              <w:spacing w:after="0"/>
              <w:rPr>
                <w:sz w:val="20"/>
                <w:szCs w:val="20"/>
                <w:color w:val="auto"/>
              </w:rPr>
            </w:pPr>
            <w:r>
              <w:rPr>
                <w:rFonts w:ascii="Arial" w:cs="Arial" w:eastAsia="Arial" w:hAnsi="Arial"/>
                <w:sz w:val="18"/>
                <w:szCs w:val="18"/>
                <w:color w:val="auto"/>
              </w:rPr>
              <w:t>Journal of</w:t>
            </w:r>
          </w:p>
        </w:tc>
        <w:tc>
          <w:tcPr>
            <w:tcW w:w="3260" w:type="dxa"/>
            <w:vAlign w:val="bottom"/>
          </w:tcPr>
          <w:p>
            <w:pPr>
              <w:ind w:left="220"/>
              <w:spacing w:after="0"/>
              <w:rPr>
                <w:sz w:val="20"/>
                <w:szCs w:val="20"/>
                <w:color w:val="auto"/>
              </w:rPr>
            </w:pPr>
            <w:r>
              <w:rPr>
                <w:rFonts w:ascii="Arial" w:cs="Arial" w:eastAsia="Arial" w:hAnsi="Arial"/>
                <w:sz w:val="18"/>
                <w:szCs w:val="18"/>
                <w:i w:val="1"/>
                <w:iCs w:val="1"/>
                <w:color w:val="auto"/>
              </w:rPr>
              <w:t>Detection of microsatellite</w:t>
            </w:r>
          </w:p>
        </w:tc>
        <w:tc>
          <w:tcPr>
            <w:tcW w:w="2060" w:type="dxa"/>
            <w:vAlign w:val="bottom"/>
          </w:tcPr>
          <w:p>
            <w:pPr>
              <w:ind w:left="960"/>
              <w:spacing w:after="0"/>
              <w:rPr>
                <w:sz w:val="20"/>
                <w:szCs w:val="20"/>
                <w:color w:val="auto"/>
              </w:rPr>
            </w:pPr>
            <w:r>
              <w:rPr>
                <w:rFonts w:ascii="Arial" w:cs="Arial" w:eastAsia="Arial" w:hAnsi="Arial"/>
                <w:sz w:val="18"/>
                <w:szCs w:val="18"/>
                <w:color w:val="auto"/>
                <w:w w:val="89"/>
              </w:rPr>
              <w:t>Our ColonCore</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6"/>
              </w:rPr>
              <w:t>Hospital, a university hospital affiliated with Shanghai</w:t>
            </w:r>
          </w:p>
        </w:tc>
        <w:tc>
          <w:tcPr>
            <w:tcW w:w="1500" w:type="dxa"/>
            <w:vAlign w:val="bottom"/>
          </w:tcPr>
          <w:p>
            <w:pPr>
              <w:ind w:left="180"/>
              <w:spacing w:after="0"/>
              <w:rPr>
                <w:sz w:val="20"/>
                <w:szCs w:val="20"/>
                <w:color w:val="auto"/>
              </w:rPr>
            </w:pPr>
            <w:r>
              <w:rPr>
                <w:rFonts w:ascii="Arial" w:cs="Arial" w:eastAsia="Arial" w:hAnsi="Arial"/>
                <w:sz w:val="18"/>
                <w:szCs w:val="18"/>
                <w:color w:val="auto"/>
              </w:rPr>
              <w:t>Molecular</w:t>
            </w:r>
          </w:p>
        </w:tc>
        <w:tc>
          <w:tcPr>
            <w:tcW w:w="3260" w:type="dxa"/>
            <w:vAlign w:val="bottom"/>
          </w:tcPr>
          <w:p>
            <w:pPr>
              <w:ind w:left="220"/>
              <w:spacing w:after="0"/>
              <w:rPr>
                <w:sz w:val="20"/>
                <w:szCs w:val="20"/>
                <w:color w:val="auto"/>
              </w:rPr>
            </w:pPr>
            <w:r>
              <w:rPr>
                <w:rFonts w:ascii="Arial" w:cs="Arial" w:eastAsia="Arial" w:hAnsi="Arial"/>
                <w:sz w:val="18"/>
                <w:szCs w:val="18"/>
                <w:i w:val="1"/>
                <w:iCs w:val="1"/>
                <w:color w:val="auto"/>
              </w:rPr>
              <w:t>instability from circulating</w:t>
            </w:r>
          </w:p>
        </w:tc>
        <w:tc>
          <w:tcPr>
            <w:tcW w:w="2060" w:type="dxa"/>
            <w:vAlign w:val="bottom"/>
          </w:tcPr>
          <w:p>
            <w:pPr>
              <w:ind w:left="960"/>
              <w:spacing w:after="0"/>
              <w:rPr>
                <w:sz w:val="20"/>
                <w:szCs w:val="20"/>
                <w:color w:val="auto"/>
              </w:rPr>
            </w:pPr>
            <w:r>
              <w:rPr>
                <w:rFonts w:ascii="Arial" w:cs="Arial" w:eastAsia="Arial" w:hAnsi="Arial"/>
                <w:sz w:val="18"/>
                <w:szCs w:val="18"/>
                <w:color w:val="auto"/>
              </w:rPr>
              <w:t>and the</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Jiao Tong University, School of Medicine</w:t>
            </w:r>
          </w:p>
        </w:tc>
        <w:tc>
          <w:tcPr>
            <w:tcW w:w="1500" w:type="dxa"/>
            <w:vAlign w:val="bottom"/>
          </w:tcPr>
          <w:p>
            <w:pPr>
              <w:ind w:left="180"/>
              <w:spacing w:after="0"/>
              <w:rPr>
                <w:sz w:val="20"/>
                <w:szCs w:val="20"/>
                <w:color w:val="auto"/>
              </w:rPr>
            </w:pPr>
            <w:r>
              <w:rPr>
                <w:rFonts w:ascii="Arial" w:cs="Arial" w:eastAsia="Arial" w:hAnsi="Arial"/>
                <w:sz w:val="18"/>
                <w:szCs w:val="18"/>
                <w:color w:val="auto"/>
              </w:rPr>
              <w:t>Diagnostics</w:t>
            </w:r>
          </w:p>
        </w:tc>
        <w:tc>
          <w:tcPr>
            <w:tcW w:w="3260" w:type="dxa"/>
            <w:vAlign w:val="bottom"/>
          </w:tcPr>
          <w:p>
            <w:pPr>
              <w:ind w:left="220"/>
              <w:spacing w:after="0"/>
              <w:rPr>
                <w:sz w:val="20"/>
                <w:szCs w:val="20"/>
                <w:color w:val="auto"/>
              </w:rPr>
            </w:pPr>
            <w:r>
              <w:rPr>
                <w:rFonts w:ascii="Arial" w:cs="Arial" w:eastAsia="Arial" w:hAnsi="Arial"/>
                <w:sz w:val="18"/>
                <w:szCs w:val="18"/>
                <w:i w:val="1"/>
                <w:iCs w:val="1"/>
                <w:color w:val="auto"/>
              </w:rPr>
              <w:t>tumor DNA by targeted deep</w:t>
            </w:r>
          </w:p>
        </w:tc>
        <w:tc>
          <w:tcPr>
            <w:tcW w:w="2060" w:type="dxa"/>
            <w:vAlign w:val="bottom"/>
          </w:tcPr>
          <w:p>
            <w:pPr>
              <w:ind w:left="960"/>
              <w:spacing w:after="0"/>
              <w:rPr>
                <w:sz w:val="20"/>
                <w:szCs w:val="20"/>
                <w:color w:val="auto"/>
              </w:rPr>
            </w:pPr>
            <w:r>
              <w:rPr>
                <w:rFonts w:ascii="Arial" w:cs="Arial" w:eastAsia="Arial" w:hAnsi="Arial"/>
                <w:sz w:val="18"/>
                <w:szCs w:val="18"/>
                <w:color w:val="auto"/>
                <w:w w:val="94"/>
              </w:rPr>
              <w:t>corresponding</w:t>
            </w:r>
          </w:p>
        </w:tc>
      </w:tr>
      <w:tr>
        <w:trPr>
          <w:trHeight w:val="216"/>
        </w:trPr>
        <w:tc>
          <w:tcPr>
            <w:tcW w:w="4100" w:type="dxa"/>
            <w:vAlign w:val="bottom"/>
          </w:tcPr>
          <w:p>
            <w:pPr>
              <w:spacing w:after="0"/>
              <w:rPr>
                <w:sz w:val="18"/>
                <w:szCs w:val="18"/>
                <w:color w:val="auto"/>
              </w:rPr>
            </w:pPr>
          </w:p>
        </w:tc>
        <w:tc>
          <w:tcPr>
            <w:tcW w:w="1500" w:type="dxa"/>
            <w:vAlign w:val="bottom"/>
          </w:tcPr>
          <w:p>
            <w:pPr>
              <w:ind w:left="180"/>
              <w:spacing w:after="0"/>
              <w:rPr>
                <w:sz w:val="20"/>
                <w:szCs w:val="20"/>
                <w:color w:val="auto"/>
              </w:rPr>
            </w:pPr>
            <w:r>
              <w:rPr>
                <w:rFonts w:ascii="Arial" w:cs="Arial" w:eastAsia="Arial" w:hAnsi="Arial"/>
                <w:sz w:val="18"/>
                <w:szCs w:val="18"/>
                <w:color w:val="auto"/>
              </w:rPr>
              <w:t>(submitted and</w:t>
            </w:r>
          </w:p>
        </w:tc>
        <w:tc>
          <w:tcPr>
            <w:tcW w:w="3260" w:type="dxa"/>
            <w:vAlign w:val="bottom"/>
          </w:tcPr>
          <w:p>
            <w:pPr>
              <w:ind w:left="220"/>
              <w:spacing w:after="0"/>
              <w:rPr>
                <w:sz w:val="20"/>
                <w:szCs w:val="20"/>
                <w:color w:val="auto"/>
              </w:rPr>
            </w:pPr>
            <w:r>
              <w:rPr>
                <w:rFonts w:ascii="Arial" w:cs="Arial" w:eastAsia="Arial" w:hAnsi="Arial"/>
                <w:sz w:val="18"/>
                <w:szCs w:val="18"/>
                <w:i w:val="1"/>
                <w:iCs w:val="1"/>
                <w:color w:val="auto"/>
              </w:rPr>
              <w:t>sequencing</w:t>
            </w:r>
          </w:p>
        </w:tc>
        <w:tc>
          <w:tcPr>
            <w:tcW w:w="2060" w:type="dxa"/>
            <w:vAlign w:val="bottom"/>
          </w:tcPr>
          <w:p>
            <w:pPr>
              <w:ind w:left="960"/>
              <w:spacing w:after="0"/>
              <w:rPr>
                <w:sz w:val="20"/>
                <w:szCs w:val="20"/>
                <w:color w:val="auto"/>
              </w:rPr>
            </w:pPr>
            <w:r>
              <w:rPr>
                <w:rFonts w:ascii="Arial" w:cs="Arial" w:eastAsia="Arial" w:hAnsi="Arial"/>
                <w:sz w:val="18"/>
                <w:szCs w:val="18"/>
                <w:color w:val="auto"/>
              </w:rPr>
              <w:t>MSI calling</w:t>
            </w:r>
          </w:p>
        </w:tc>
      </w:tr>
      <w:tr>
        <w:trPr>
          <w:trHeight w:val="216"/>
        </w:trPr>
        <w:tc>
          <w:tcPr>
            <w:tcW w:w="4100" w:type="dxa"/>
            <w:vAlign w:val="bottom"/>
          </w:tcPr>
          <w:p>
            <w:pPr>
              <w:spacing w:after="0"/>
              <w:rPr>
                <w:sz w:val="18"/>
                <w:szCs w:val="18"/>
                <w:color w:val="auto"/>
              </w:rPr>
            </w:pPr>
          </w:p>
        </w:tc>
        <w:tc>
          <w:tcPr>
            <w:tcW w:w="1500" w:type="dxa"/>
            <w:vAlign w:val="bottom"/>
          </w:tcPr>
          <w:p>
            <w:pPr>
              <w:ind w:left="180"/>
              <w:spacing w:after="0"/>
              <w:rPr>
                <w:sz w:val="20"/>
                <w:szCs w:val="20"/>
                <w:color w:val="auto"/>
              </w:rPr>
            </w:pPr>
            <w:r>
              <w:rPr>
                <w:rFonts w:ascii="Arial" w:cs="Arial" w:eastAsia="Arial" w:hAnsi="Arial"/>
                <w:sz w:val="18"/>
                <w:szCs w:val="18"/>
                <w:color w:val="auto"/>
              </w:rPr>
              <w:t>accepted)</w:t>
            </w:r>
          </w:p>
        </w:tc>
        <w:tc>
          <w:tcPr>
            <w:tcW w:w="3260" w:type="dxa"/>
            <w:vAlign w:val="bottom"/>
          </w:tcPr>
          <w:p>
            <w:pPr>
              <w:spacing w:after="0"/>
              <w:rPr>
                <w:sz w:val="18"/>
                <w:szCs w:val="18"/>
                <w:color w:val="auto"/>
              </w:rPr>
            </w:pPr>
          </w:p>
        </w:tc>
        <w:tc>
          <w:tcPr>
            <w:tcW w:w="2060" w:type="dxa"/>
            <w:vAlign w:val="bottom"/>
          </w:tcPr>
          <w:p>
            <w:pPr>
              <w:ind w:left="960"/>
              <w:spacing w:after="0"/>
              <w:rPr>
                <w:sz w:val="20"/>
                <w:szCs w:val="20"/>
                <w:color w:val="auto"/>
              </w:rPr>
            </w:pPr>
            <w:r>
              <w:rPr>
                <w:rFonts w:ascii="Arial" w:cs="Arial" w:eastAsia="Arial" w:hAnsi="Arial"/>
                <w:sz w:val="18"/>
                <w:szCs w:val="18"/>
                <w:color w:val="auto"/>
                <w:w w:val="91"/>
              </w:rPr>
              <w:t>algorithm were</w:t>
            </w:r>
          </w:p>
        </w:tc>
      </w:tr>
      <w:tr>
        <w:trPr>
          <w:trHeight w:val="216"/>
        </w:trPr>
        <w:tc>
          <w:tcPr>
            <w:tcW w:w="4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060" w:type="dxa"/>
            <w:vAlign w:val="bottom"/>
          </w:tcPr>
          <w:p>
            <w:pPr>
              <w:ind w:left="960"/>
              <w:spacing w:after="0"/>
              <w:rPr>
                <w:sz w:val="20"/>
                <w:szCs w:val="20"/>
                <w:color w:val="auto"/>
              </w:rPr>
            </w:pPr>
            <w:r>
              <w:rPr>
                <w:rFonts w:ascii="Arial" w:cs="Arial" w:eastAsia="Arial" w:hAnsi="Arial"/>
                <w:sz w:val="18"/>
                <w:szCs w:val="18"/>
                <w:color w:val="auto"/>
              </w:rPr>
              <w:t>used in the</w:t>
            </w:r>
          </w:p>
        </w:tc>
      </w:tr>
      <w:tr>
        <w:trPr>
          <w:trHeight w:val="216"/>
        </w:trPr>
        <w:tc>
          <w:tcPr>
            <w:tcW w:w="4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060" w:type="dxa"/>
            <w:vAlign w:val="bottom"/>
          </w:tcPr>
          <w:p>
            <w:pPr>
              <w:ind w:left="960"/>
              <w:spacing w:after="0"/>
              <w:rPr>
                <w:sz w:val="20"/>
                <w:szCs w:val="20"/>
                <w:color w:val="auto"/>
              </w:rPr>
            </w:pPr>
            <w:r>
              <w:rPr>
                <w:rFonts w:ascii="Arial" w:cs="Arial" w:eastAsia="Arial" w:hAnsi="Arial"/>
                <w:sz w:val="18"/>
                <w:szCs w:val="18"/>
                <w:color w:val="auto"/>
              </w:rPr>
              <w:t>validation</w:t>
            </w:r>
          </w:p>
        </w:tc>
      </w:tr>
      <w:tr>
        <w:trPr>
          <w:trHeight w:val="230"/>
        </w:trPr>
        <w:tc>
          <w:tcPr>
            <w:tcW w:w="4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60" w:type="dxa"/>
            <w:vAlign w:val="bottom"/>
          </w:tcPr>
          <w:p>
            <w:pPr>
              <w:ind w:left="960"/>
              <w:spacing w:after="0"/>
              <w:rPr>
                <w:sz w:val="20"/>
                <w:szCs w:val="20"/>
                <w:color w:val="auto"/>
              </w:rPr>
            </w:pPr>
            <w:r>
              <w:rPr>
                <w:rFonts w:ascii="Arial" w:cs="Arial" w:eastAsia="Arial" w:hAnsi="Arial"/>
                <w:sz w:val="18"/>
                <w:szCs w:val="18"/>
                <w:color w:val="auto"/>
              </w:rPr>
              <w:t>study</w:t>
            </w:r>
          </w:p>
        </w:tc>
      </w:tr>
    </w:tbl>
    <w:p>
      <w:pPr>
        <w:spacing w:after="0" w:line="21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addition to publication collaborations, our products are also used in clinical trials and research studies conducted by oncology key opinion leaders that have resulted in peer-reviewed articles in academic journals. The table below highlights some of the clinical trials and research studies using our products that resulted in peer-reviewed articles in academic journals:</w:t>
      </w:r>
    </w:p>
    <w:p>
      <w:pPr>
        <w:sectPr>
          <w:pgSz w:w="11900" w:h="16838" w:orient="portrait"/>
          <w:cols w:equalWidth="0" w:num="1">
            <w:col w:w="11140"/>
          </w:cols>
          <w:pgMar w:left="320" w:top="459" w:right="439" w:bottom="1440" w:gutter="0" w:footer="0" w:header="0"/>
          <w:type w:val="continuous"/>
        </w:sect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Key Opinion Leader</w:t>
      </w:r>
    </w:p>
    <w:p>
      <w:pPr>
        <w:spacing w:after="0" w:line="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Baohui Han, oncologist residing in Shanghai Chest Hospital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b w:val="1"/>
                <w:bCs w:val="1"/>
                <w:color w:val="auto"/>
              </w:rPr>
              <w:t>Journal Title</w:t>
            </w:r>
          </w:p>
        </w:tc>
        <w:tc>
          <w:tcPr>
            <w:tcW w:w="100" w:type="dxa"/>
            <w:vAlign w:val="bottom"/>
          </w:tcPr>
          <w:p>
            <w:pPr>
              <w:spacing w:after="0"/>
              <w:rPr>
                <w:sz w:val="16"/>
                <w:szCs w:val="16"/>
                <w:color w:val="auto"/>
              </w:rPr>
            </w:pPr>
          </w:p>
        </w:tc>
        <w:tc>
          <w:tcPr>
            <w:tcW w:w="3660" w:type="dxa"/>
            <w:vAlign w:val="bottom"/>
            <w:gridSpan w:val="2"/>
          </w:tcPr>
          <w:p>
            <w:pPr>
              <w:ind w:left="1380"/>
              <w:spacing w:after="0"/>
              <w:rPr>
                <w:sz w:val="20"/>
                <w:szCs w:val="20"/>
                <w:color w:val="auto"/>
              </w:rPr>
            </w:pPr>
            <w:r>
              <w:rPr>
                <w:rFonts w:ascii="Arial" w:cs="Arial" w:eastAsia="Arial" w:hAnsi="Arial"/>
                <w:sz w:val="14"/>
                <w:szCs w:val="14"/>
                <w:b w:val="1"/>
                <w:bCs w:val="1"/>
                <w:color w:val="auto"/>
              </w:rPr>
              <w:t>Article Title</w:t>
            </w:r>
          </w:p>
        </w:tc>
        <w:tc>
          <w:tcPr>
            <w:tcW w:w="1760" w:type="dxa"/>
            <w:vAlign w:val="bottom"/>
          </w:tcPr>
          <w:p>
            <w:pPr>
              <w:ind w:left="460"/>
              <w:spacing w:after="0"/>
              <w:rPr>
                <w:sz w:val="20"/>
                <w:szCs w:val="20"/>
                <w:color w:val="auto"/>
              </w:rPr>
            </w:pPr>
            <w:r>
              <w:rPr>
                <w:rFonts w:ascii="Arial" w:cs="Arial" w:eastAsia="Arial" w:hAnsi="Arial"/>
                <w:sz w:val="14"/>
                <w:szCs w:val="14"/>
                <w:b w:val="1"/>
                <w:bCs w:val="1"/>
                <w:color w:val="auto"/>
              </w:rPr>
              <w:t>Our Products</w:t>
            </w:r>
          </w:p>
        </w:tc>
      </w:tr>
      <w:tr>
        <w:trPr>
          <w:trHeight w:val="195"/>
        </w:trPr>
        <w:tc>
          <w:tcPr>
            <w:tcW w:w="20" w:type="dxa"/>
            <w:vAlign w:val="bottom"/>
          </w:tcPr>
          <w:p>
            <w:pPr>
              <w:spacing w:after="0"/>
              <w:rPr>
                <w:sz w:val="16"/>
                <w:szCs w:val="16"/>
                <w:color w:val="auto"/>
              </w:rPr>
            </w:pPr>
          </w:p>
        </w:tc>
        <w:tc>
          <w:tcPr>
            <w:tcW w:w="1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Advanced</w:t>
            </w:r>
          </w:p>
        </w:tc>
        <w:tc>
          <w:tcPr>
            <w:tcW w:w="10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Circulating DNA-based sequencing guided</w:t>
            </w:r>
          </w:p>
        </w:tc>
        <w:tc>
          <w:tcPr>
            <w:tcW w:w="140" w:type="dxa"/>
            <w:vAlign w:val="bottom"/>
          </w:tcPr>
          <w:p>
            <w:pPr>
              <w:spacing w:after="0"/>
              <w:rPr>
                <w:sz w:val="16"/>
                <w:szCs w:val="16"/>
                <w:color w:val="auto"/>
              </w:rPr>
            </w:pPr>
          </w:p>
        </w:tc>
        <w:tc>
          <w:tcPr>
            <w:tcW w:w="1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Our OncoCompass</w:t>
            </w:r>
            <w:r>
              <w:rPr>
                <w:rFonts w:ascii="Arial" w:cs="Arial" w:eastAsia="Arial" w:hAnsi="Arial"/>
                <w:sz w:val="15"/>
                <w:szCs w:val="15"/>
                <w:color w:val="auto"/>
                <w:w w:val="99"/>
              </w:rPr>
              <w:t>TM</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Science</w:t>
            </w:r>
          </w:p>
        </w:tc>
        <w:tc>
          <w:tcPr>
            <w:tcW w:w="3760" w:type="dxa"/>
            <w:vAlign w:val="bottom"/>
            <w:gridSpan w:val="3"/>
          </w:tcPr>
          <w:p>
            <w:pPr>
              <w:ind w:left="100"/>
              <w:spacing w:after="0"/>
              <w:rPr>
                <w:sz w:val="20"/>
                <w:szCs w:val="20"/>
                <w:color w:val="auto"/>
              </w:rPr>
            </w:pPr>
            <w:r>
              <w:rPr>
                <w:rFonts w:ascii="Arial" w:cs="Arial" w:eastAsia="Arial" w:hAnsi="Arial"/>
                <w:sz w:val="18"/>
                <w:szCs w:val="18"/>
                <w:i w:val="1"/>
                <w:iCs w:val="1"/>
                <w:color w:val="auto"/>
                <w:w w:val="99"/>
              </w:rPr>
              <w:t>Anlotinib therapy in non-small cell lung cancer</w:t>
            </w:r>
          </w:p>
        </w:tc>
        <w:tc>
          <w:tcPr>
            <w:tcW w:w="1760" w:type="dxa"/>
            <w:vAlign w:val="bottom"/>
          </w:tcPr>
          <w:p>
            <w:pPr>
              <w:spacing w:after="0"/>
              <w:rPr>
                <w:sz w:val="20"/>
                <w:szCs w:val="20"/>
                <w:color w:val="auto"/>
              </w:rPr>
            </w:pPr>
            <w:r>
              <w:rPr>
                <w:rFonts w:ascii="Arial" w:cs="Arial" w:eastAsia="Arial" w:hAnsi="Arial"/>
                <w:sz w:val="18"/>
                <w:szCs w:val="18"/>
                <w:color w:val="auto"/>
              </w:rPr>
              <w:t>Target was</w:t>
            </w: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chosen in the</w:t>
            </w: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biomarker study of</w:t>
            </w: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anlotinib</w:t>
            </w:r>
          </w:p>
        </w:tc>
      </w:tr>
    </w:tbl>
    <w:p>
      <w:pPr>
        <w:spacing w:after="0" w:line="107" w:lineRule="exact"/>
        <w:rPr>
          <w:sz w:val="20"/>
          <w:szCs w:val="20"/>
          <w:color w:val="auto"/>
        </w:rPr>
      </w:pPr>
    </w:p>
    <w:p>
      <w:pPr>
        <w:sectPr>
          <w:pgSz w:w="11900" w:h="16838" w:orient="portrait"/>
          <w:cols w:equalWidth="0" w:num="2">
            <w:col w:w="3800" w:space="280"/>
            <w:col w:w="70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color w:val="auto"/>
                <w:w w:val="96"/>
              </w:rPr>
              <w:t>Yun Fan, oncologist residing in Zhejiang Cancer</w:t>
            </w:r>
          </w:p>
        </w:tc>
        <w:tc>
          <w:tcPr>
            <w:tcW w:w="1620" w:type="dxa"/>
            <w:vAlign w:val="bottom"/>
          </w:tcPr>
          <w:p>
            <w:pPr>
              <w:ind w:left="240"/>
              <w:spacing w:after="0"/>
              <w:rPr>
                <w:sz w:val="20"/>
                <w:szCs w:val="20"/>
                <w:color w:val="auto"/>
              </w:rPr>
            </w:pPr>
            <w:r>
              <w:rPr>
                <w:rFonts w:ascii="Arial" w:cs="Arial" w:eastAsia="Arial" w:hAnsi="Arial"/>
                <w:sz w:val="18"/>
                <w:szCs w:val="18"/>
                <w:color w:val="auto"/>
              </w:rPr>
              <w:t>Clinical Cancer</w:t>
            </w:r>
          </w:p>
        </w:tc>
        <w:tc>
          <w:tcPr>
            <w:tcW w:w="3800" w:type="dxa"/>
            <w:vAlign w:val="bottom"/>
          </w:tcPr>
          <w:p>
            <w:pPr>
              <w:ind w:left="260"/>
              <w:spacing w:after="0"/>
              <w:rPr>
                <w:sz w:val="20"/>
                <w:szCs w:val="20"/>
                <w:color w:val="auto"/>
              </w:rPr>
            </w:pPr>
            <w:r>
              <w:rPr>
                <w:rFonts w:ascii="Arial" w:cs="Arial" w:eastAsia="Arial" w:hAnsi="Arial"/>
                <w:sz w:val="18"/>
                <w:szCs w:val="18"/>
                <w:i w:val="1"/>
                <w:iCs w:val="1"/>
                <w:color w:val="auto"/>
                <w:w w:val="93"/>
              </w:rPr>
              <w:t>Cell-cycle and DNA-damage response pathway</w:t>
            </w:r>
          </w:p>
        </w:tc>
        <w:tc>
          <w:tcPr>
            <w:tcW w:w="1720" w:type="dxa"/>
            <w:vAlign w:val="bottom"/>
          </w:tcPr>
          <w:p>
            <w:pPr>
              <w:ind w:left="120"/>
              <w:spacing w:after="0"/>
              <w:rPr>
                <w:sz w:val="20"/>
                <w:szCs w:val="20"/>
                <w:color w:val="auto"/>
              </w:rPr>
            </w:pPr>
            <w:r>
              <w:rPr>
                <w:rFonts w:ascii="Arial" w:cs="Arial" w:eastAsia="Arial" w:hAnsi="Arial"/>
                <w:sz w:val="18"/>
                <w:szCs w:val="18"/>
                <w:color w:val="auto"/>
                <w:w w:val="89"/>
              </w:rPr>
              <w:t>Our OncoCompass</w:t>
            </w:r>
            <w:r>
              <w:rPr>
                <w:rFonts w:ascii="Arial" w:cs="Arial" w:eastAsia="Arial" w:hAnsi="Arial"/>
                <w:sz w:val="15"/>
                <w:szCs w:val="15"/>
                <w:color w:val="auto"/>
                <w:w w:val="89"/>
              </w:rPr>
              <w:t>TM</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Hospital</w:t>
            </w:r>
          </w:p>
        </w:tc>
        <w:tc>
          <w:tcPr>
            <w:tcW w:w="1620" w:type="dxa"/>
            <w:vAlign w:val="bottom"/>
          </w:tcPr>
          <w:p>
            <w:pPr>
              <w:ind w:left="240"/>
              <w:spacing w:after="0"/>
              <w:rPr>
                <w:sz w:val="20"/>
                <w:szCs w:val="20"/>
                <w:color w:val="auto"/>
              </w:rPr>
            </w:pPr>
            <w:r>
              <w:rPr>
                <w:rFonts w:ascii="Arial" w:cs="Arial" w:eastAsia="Arial" w:hAnsi="Arial"/>
                <w:sz w:val="18"/>
                <w:szCs w:val="18"/>
                <w:color w:val="auto"/>
              </w:rPr>
              <w:t>Research</w:t>
            </w:r>
          </w:p>
        </w:tc>
        <w:tc>
          <w:tcPr>
            <w:tcW w:w="3800" w:type="dxa"/>
            <w:vAlign w:val="bottom"/>
          </w:tcPr>
          <w:p>
            <w:pPr>
              <w:ind w:left="260"/>
              <w:spacing w:after="0"/>
              <w:rPr>
                <w:sz w:val="20"/>
                <w:szCs w:val="20"/>
                <w:color w:val="auto"/>
              </w:rPr>
            </w:pPr>
            <w:r>
              <w:rPr>
                <w:rFonts w:ascii="Arial" w:cs="Arial" w:eastAsia="Arial" w:hAnsi="Arial"/>
                <w:sz w:val="18"/>
                <w:szCs w:val="18"/>
                <w:i w:val="1"/>
                <w:iCs w:val="1"/>
                <w:color w:val="auto"/>
              </w:rPr>
              <w:t>is involved in leptomeningeal metastasis of</w:t>
            </w:r>
          </w:p>
        </w:tc>
        <w:tc>
          <w:tcPr>
            <w:tcW w:w="1720" w:type="dxa"/>
            <w:vAlign w:val="bottom"/>
          </w:tcPr>
          <w:p>
            <w:pPr>
              <w:ind w:left="120"/>
              <w:spacing w:after="0"/>
              <w:rPr>
                <w:sz w:val="20"/>
                <w:szCs w:val="20"/>
                <w:color w:val="auto"/>
              </w:rPr>
            </w:pPr>
            <w:r>
              <w:rPr>
                <w:rFonts w:ascii="Arial" w:cs="Arial" w:eastAsia="Arial" w:hAnsi="Arial"/>
                <w:sz w:val="18"/>
                <w:szCs w:val="18"/>
                <w:color w:val="auto"/>
              </w:rPr>
              <w:t>Target was</w:t>
            </w:r>
          </w:p>
        </w:tc>
      </w:tr>
      <w:tr>
        <w:trPr>
          <w:trHeight w:val="216"/>
        </w:trPr>
        <w:tc>
          <w:tcPr>
            <w:tcW w:w="3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0" w:type="dxa"/>
            <w:vAlign w:val="bottom"/>
          </w:tcPr>
          <w:p>
            <w:pPr>
              <w:ind w:left="260"/>
              <w:spacing w:after="0"/>
              <w:rPr>
                <w:sz w:val="20"/>
                <w:szCs w:val="20"/>
                <w:color w:val="auto"/>
              </w:rPr>
            </w:pPr>
            <w:r>
              <w:rPr>
                <w:rFonts w:ascii="Arial" w:cs="Arial" w:eastAsia="Arial" w:hAnsi="Arial"/>
                <w:sz w:val="18"/>
                <w:szCs w:val="18"/>
                <w:i w:val="1"/>
                <w:iCs w:val="1"/>
                <w:color w:val="auto"/>
              </w:rPr>
              <w:t>non-small cell lung cancer</w:t>
            </w:r>
          </w:p>
        </w:tc>
        <w:tc>
          <w:tcPr>
            <w:tcW w:w="1720" w:type="dxa"/>
            <w:vAlign w:val="bottom"/>
          </w:tcPr>
          <w:p>
            <w:pPr>
              <w:ind w:left="120"/>
              <w:spacing w:after="0"/>
              <w:rPr>
                <w:sz w:val="20"/>
                <w:szCs w:val="20"/>
                <w:color w:val="auto"/>
              </w:rPr>
            </w:pPr>
            <w:r>
              <w:rPr>
                <w:rFonts w:ascii="Arial" w:cs="Arial" w:eastAsia="Arial" w:hAnsi="Arial"/>
                <w:sz w:val="18"/>
                <w:szCs w:val="18"/>
                <w:color w:val="auto"/>
              </w:rPr>
              <w:t>used for the</w:t>
            </w:r>
          </w:p>
        </w:tc>
      </w:tr>
      <w:tr>
        <w:trPr>
          <w:trHeight w:val="216"/>
        </w:trPr>
        <w:tc>
          <w:tcPr>
            <w:tcW w:w="3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NGS-based cancer</w:t>
            </w:r>
          </w:p>
        </w:tc>
      </w:tr>
      <w:tr>
        <w:trPr>
          <w:trHeight w:val="216"/>
        </w:trPr>
        <w:tc>
          <w:tcPr>
            <w:tcW w:w="3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therapy selection of</w:t>
            </w:r>
          </w:p>
        </w:tc>
      </w:tr>
      <w:tr>
        <w:trPr>
          <w:trHeight w:val="216"/>
        </w:trPr>
        <w:tc>
          <w:tcPr>
            <w:tcW w:w="3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w w:val="96"/>
              </w:rPr>
              <w:t>plasma ctDNA in the</w:t>
            </w:r>
          </w:p>
        </w:tc>
      </w:tr>
      <w:tr>
        <w:trPr>
          <w:trHeight w:val="230"/>
        </w:trPr>
        <w:tc>
          <w:tcPr>
            <w:tcW w:w="3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study</w:t>
            </w: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also collaborate with oncology key opinion leaders in studies that have resulted in presentations at leading academic conferences. For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example, in 2019, we have collaborated with Professor Yun Fan, who made the presentation “</w:t>
      </w:r>
      <w:r>
        <w:rPr>
          <w:rFonts w:ascii="Arial" w:cs="Arial" w:eastAsia="Arial" w:hAnsi="Arial"/>
          <w:sz w:val="17"/>
          <w:szCs w:val="17"/>
          <w:i w:val="1"/>
          <w:iCs w:val="1"/>
          <w:color w:val="auto"/>
        </w:rPr>
        <w:t>Integrated genomic mutation and DNA methylation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analyses of non-small cell lung cancer patients with brain metastases</w:t>
      </w:r>
      <w:r>
        <w:rPr>
          <w:rFonts w:ascii="Arial" w:cs="Arial" w:eastAsia="Arial" w:hAnsi="Arial"/>
          <w:sz w:val="16"/>
          <w:szCs w:val="16"/>
          <w:color w:val="auto"/>
        </w:rPr>
        <w:t>” at European Society for Medical Oncology (ESMO) Congress 2019, which used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DNA methylation-based detection technologies. In the same year, we collaborated with Professor Lin Wu, who made the presentation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Characterization of genomic alterations in Chinese LCNEC and SCLC via comprehensive genomic profiling</w:t>
      </w:r>
      <w:r>
        <w:rPr>
          <w:rFonts w:ascii="Arial" w:cs="Arial" w:eastAsia="Arial" w:hAnsi="Arial"/>
          <w:sz w:val="17"/>
          <w:szCs w:val="17"/>
          <w:color w:val="auto"/>
        </w:rPr>
        <w:t>” at 2019 World Conference on Lung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Cancer (WCLC), which used our OncoScreen</w:t>
      </w:r>
      <w:r>
        <w:rPr>
          <w:rFonts w:ascii="Arial" w:cs="Arial" w:eastAsia="Arial" w:hAnsi="Arial"/>
          <w:sz w:val="15"/>
          <w:szCs w:val="15"/>
          <w:color w:val="auto"/>
        </w:rPr>
        <w:t>TM</w:t>
      </w:r>
      <w:r>
        <w:rPr>
          <w:rFonts w:ascii="Arial" w:cs="Arial" w:eastAsia="Arial" w:hAnsi="Arial"/>
          <w:sz w:val="18"/>
          <w:szCs w:val="18"/>
          <w:color w:val="auto"/>
        </w:rPr>
        <w:t xml:space="preserve"> IO.</w:t>
      </w:r>
    </w:p>
    <w:p>
      <w:pPr>
        <w:spacing w:after="0" w:line="21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addition to collaborations with oncology key opinion leaders, we also collaborate with seven out of the top 25 oncology hospitals in China to conduct clinical trials for our products, including West China Hospital, Sichuan University, Fudan University Shanghai Cancer Center, Cancer Hospital Chinese Academy of Medical Sciences, Shanghai Chest Hospital, Henan Cancer Hospital, Jiangsu Province Hospital and Shanghai Pulmonary Hospital.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Collaborations with Pharmaceutical Companies</w:t>
      </w:r>
    </w:p>
    <w:p>
      <w:pPr>
        <w:spacing w:after="0" w:line="121" w:lineRule="exact"/>
        <w:rPr>
          <w:sz w:val="20"/>
          <w:szCs w:val="20"/>
          <w:color w:val="auto"/>
        </w:rPr>
      </w:pPr>
    </w:p>
    <w:p>
      <w:pPr>
        <w:ind w:left="120" w:right="320" w:firstLine="440"/>
        <w:spacing w:after="0" w:line="293" w:lineRule="auto"/>
        <w:rPr>
          <w:sz w:val="20"/>
          <w:szCs w:val="20"/>
          <w:color w:val="auto"/>
        </w:rPr>
      </w:pPr>
      <w:r>
        <w:rPr>
          <w:rFonts w:ascii="Arial" w:cs="Arial" w:eastAsia="Arial" w:hAnsi="Arial"/>
          <w:sz w:val="16"/>
          <w:szCs w:val="16"/>
          <w:color w:val="auto"/>
        </w:rPr>
        <w:t>We collaborate with over 20 leading international and domestic pharmaceutical companies on clinical trials and research studies, primarily by providing central laboratory services and companion diagnostics development services. These services enable pharmaceutical companies to identify molecularly defined patient populations enrolled in specific clinical trials or to better understand how targeted oncology therapy and immunotherapy drug candidates are working on patients, which in turn guides their drug development process. In order to form collaborations with pharmaceutical companies, we must go through their rigorous quality assurance audits and technical validations to demonstrate that the design, specification and performance of our tests as well as our testing workflow meet their quality and technical requirements. Examples of such collaborations include: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AstraZeneca</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Our OncoCompass</w:t>
      </w:r>
      <w:r>
        <w:rPr>
          <w:rFonts w:ascii="Arial" w:cs="Arial" w:eastAsia="Arial" w:hAnsi="Arial"/>
          <w:sz w:val="15"/>
          <w:szCs w:val="15"/>
          <w:color w:val="auto"/>
        </w:rPr>
        <w:t>TM</w:t>
      </w:r>
      <w:r>
        <w:rPr>
          <w:rFonts w:ascii="Arial" w:cs="Arial" w:eastAsia="Arial" w:hAnsi="Arial"/>
          <w:sz w:val="18"/>
          <w:szCs w:val="18"/>
          <w:color w:val="auto"/>
        </w:rPr>
        <w:t xml:space="preserve"> Target was the only NGS-based product selected by AstraZeneca for its Tagrisso (Osimertinib) Phase III diagnostic methods comparison study.</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November 2017, our OncoScreen</w:t>
      </w:r>
      <w:r>
        <w:rPr>
          <w:rFonts w:ascii="Arial" w:cs="Arial" w:eastAsia="Arial" w:hAnsi="Arial"/>
          <w:sz w:val="15"/>
          <w:szCs w:val="15"/>
          <w:color w:val="auto"/>
        </w:rPr>
        <w:t>TM</w:t>
      </w:r>
      <w:r>
        <w:rPr>
          <w:rFonts w:ascii="Arial" w:cs="Arial" w:eastAsia="Arial" w:hAnsi="Arial"/>
          <w:sz w:val="18"/>
          <w:szCs w:val="18"/>
          <w:color w:val="auto"/>
        </w:rPr>
        <w:t xml:space="preserve"> ParpMatch and OncoCompass</w:t>
      </w:r>
      <w:r>
        <w:rPr>
          <w:rFonts w:ascii="Arial" w:cs="Arial" w:eastAsia="Arial" w:hAnsi="Arial"/>
          <w:sz w:val="15"/>
          <w:szCs w:val="15"/>
          <w:color w:val="auto"/>
        </w:rPr>
        <w:t>TM</w:t>
      </w:r>
      <w:r>
        <w:rPr>
          <w:rFonts w:ascii="Arial" w:cs="Arial" w:eastAsia="Arial" w:hAnsi="Arial"/>
          <w:sz w:val="18"/>
          <w:szCs w:val="18"/>
          <w:color w:val="auto"/>
        </w:rPr>
        <w:t xml:space="preserve"> ParpMatch were selected by AstraZeneca for the Phase III clinical study of a drug candidate.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Bayer</w:t>
      </w:r>
    </w:p>
    <w:p>
      <w:pPr>
        <w:spacing w:after="0" w:line="117"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In April 2020, we entered into an agreement with Bayer, under which we will help patients who are found to be with NTRK fusions through our NGS-based cancer therapy selection tests to get in touch with study investigators as potential candidates for clinical trials of Larotrectinib.</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Johnson &amp; Johnson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April 2020, our OncoScreen</w:t>
      </w:r>
      <w:r>
        <w:rPr>
          <w:rFonts w:ascii="Arial" w:cs="Arial" w:eastAsia="Arial" w:hAnsi="Arial"/>
          <w:sz w:val="15"/>
          <w:szCs w:val="15"/>
          <w:color w:val="auto"/>
        </w:rPr>
        <w:t>TM</w:t>
      </w:r>
      <w:r>
        <w:rPr>
          <w:rFonts w:ascii="Arial" w:cs="Arial" w:eastAsia="Arial" w:hAnsi="Arial"/>
          <w:sz w:val="18"/>
          <w:szCs w:val="18"/>
          <w:color w:val="auto"/>
        </w:rPr>
        <w:t xml:space="preserve"> IO and OncoCompass</w:t>
      </w:r>
      <w:r>
        <w:rPr>
          <w:rFonts w:ascii="Arial" w:cs="Arial" w:eastAsia="Arial" w:hAnsi="Arial"/>
          <w:sz w:val="15"/>
          <w:szCs w:val="15"/>
          <w:color w:val="auto"/>
        </w:rPr>
        <w:t>TM</w:t>
      </w:r>
      <w:r>
        <w:rPr>
          <w:rFonts w:ascii="Arial" w:cs="Arial" w:eastAsia="Arial" w:hAnsi="Arial"/>
          <w:sz w:val="18"/>
          <w:szCs w:val="18"/>
          <w:color w:val="auto"/>
        </w:rPr>
        <w:t xml:space="preserve"> IO were selected by Janssen, a subsidiary of Johnson &amp; Johnson, in a clinical study to conduct analysis of blood samples collected from patients with various kinds of advanced solid tumors.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CStone</w:t>
      </w:r>
    </w:p>
    <w:p>
      <w:pPr>
        <w:spacing w:after="0" w:line="117"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In May 2018, our OncoScreen</w:t>
      </w:r>
      <w:r>
        <w:rPr>
          <w:rFonts w:ascii="Arial" w:cs="Arial" w:eastAsia="Arial" w:hAnsi="Arial"/>
          <w:sz w:val="14"/>
          <w:szCs w:val="14"/>
          <w:color w:val="auto"/>
        </w:rPr>
        <w:t>TM</w:t>
      </w:r>
      <w:r>
        <w:rPr>
          <w:rFonts w:ascii="Arial" w:cs="Arial" w:eastAsia="Arial" w:hAnsi="Arial"/>
          <w:sz w:val="17"/>
          <w:szCs w:val="17"/>
          <w:color w:val="auto"/>
        </w:rPr>
        <w:t xml:space="preserve"> IO was selected by CStone in its Phase III clinical trial of CS1001—one of CStone’s core product candidates that targets PD-L1—to detect TMB, which can potentially identify the patients who may benefit from treatment of CS1001.</w:t>
      </w:r>
    </w:p>
    <w:p>
      <w:pPr>
        <w:spacing w:after="0" w:line="146"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In June 2020, we started a strategic partnership with CStone for the co-development and commercialization of the companion diagnostics for pralsetinib, an investigational treatment developed by CStone’s partner Blueprint Medicines, in China for the detection of RET alterations in cancer patients.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BeiGene</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the fourth quarter of 2019, we entered into an agreement with BeiGene, under which our OncoScreen</w:t>
      </w:r>
      <w:r>
        <w:rPr>
          <w:rFonts w:ascii="Arial" w:cs="Arial" w:eastAsia="Arial" w:hAnsi="Arial"/>
          <w:sz w:val="15"/>
          <w:szCs w:val="15"/>
          <w:color w:val="auto"/>
        </w:rPr>
        <w:t>TM</w:t>
      </w:r>
      <w:r>
        <w:rPr>
          <w:rFonts w:ascii="Arial" w:cs="Arial" w:eastAsia="Arial" w:hAnsi="Arial"/>
          <w:sz w:val="18"/>
          <w:szCs w:val="18"/>
          <w:color w:val="auto"/>
        </w:rPr>
        <w:t xml:space="preserve"> IO and OncoCompass</w:t>
      </w:r>
      <w:r>
        <w:rPr>
          <w:rFonts w:ascii="Arial" w:cs="Arial" w:eastAsia="Arial" w:hAnsi="Arial"/>
          <w:sz w:val="15"/>
          <w:szCs w:val="15"/>
          <w:color w:val="auto"/>
        </w:rPr>
        <w:t>TM</w:t>
      </w:r>
      <w:r>
        <w:rPr>
          <w:rFonts w:ascii="Arial" w:cs="Arial" w:eastAsia="Arial" w:hAnsi="Arial"/>
          <w:sz w:val="18"/>
          <w:szCs w:val="18"/>
          <w:color w:val="auto"/>
        </w:rPr>
        <w:t xml:space="preserve"> IO were selected to detect TMB in BeiGene’s domestic and international clinical trials for its PD-1 drug candidate.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pioneered a two-pronged commercial infrastructure, consisting of both central and in-hospital laboratories, to maximize market penetration and create higher barriers to entry:</w:t>
      </w:r>
    </w:p>
    <w:p>
      <w:pPr>
        <w:spacing w:after="0" w:line="76" w:lineRule="exact"/>
        <w:rPr>
          <w:sz w:val="20"/>
          <w:szCs w:val="20"/>
          <w:color w:val="auto"/>
        </w:rPr>
      </w:pPr>
    </w:p>
    <w:p>
      <w:pPr>
        <w:ind w:left="1540" w:hanging="331"/>
        <w:spacing w:after="0" w:line="279" w:lineRule="auto"/>
        <w:tabs>
          <w:tab w:leader="none" w:pos="154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Central laboratory model</w:t>
      </w:r>
      <w:r>
        <w:rPr>
          <w:rFonts w:ascii="Arial" w:cs="Arial" w:eastAsia="Arial" w:hAnsi="Arial"/>
          <w:sz w:val="17"/>
          <w:szCs w:val="17"/>
          <w:color w:val="auto"/>
        </w:rPr>
        <w:t>. Since 2014, we have offered our cancer therapy selection tests under a central laboratory model.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model, cancer patients’ tissue and liquid biopsy samples are delivered to our central laboratory in Guangzhou for processing, and we issue test reports generally within six days from our receipt of the tissue and liquid biopsy samples, respectively. Our central laboratory also supports our collaborations with pharmaceutical companies; and</w:t>
      </w:r>
    </w:p>
    <w:p>
      <w:pPr>
        <w:spacing w:after="0" w:line="76" w:lineRule="exact"/>
        <w:rPr>
          <w:rFonts w:ascii="Arial" w:cs="Arial" w:eastAsia="Arial" w:hAnsi="Arial"/>
          <w:sz w:val="17"/>
          <w:szCs w:val="17"/>
          <w:color w:val="auto"/>
        </w:rPr>
      </w:pPr>
    </w:p>
    <w:p>
      <w:pPr>
        <w:ind w:left="1540" w:right="60" w:hanging="331"/>
        <w:spacing w:after="0" w:line="293" w:lineRule="auto"/>
        <w:tabs>
          <w:tab w:leader="none" w:pos="154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In-hospital model</w:t>
      </w:r>
      <w:r>
        <w:rPr>
          <w:rFonts w:ascii="Arial" w:cs="Arial" w:eastAsia="Arial" w:hAnsi="Arial"/>
          <w:sz w:val="16"/>
          <w:szCs w:val="16"/>
          <w:color w:val="auto"/>
        </w:rPr>
        <w:t>. In China, cancer patients typically go to top oncology hospitals for cancer treatment. These hospitals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 to conduct laboratory tests in-house. Although the complexities of NGS-based cancer therapy selection have so far limited the number of hospitals to have their own laboratory facilities for these tests, we believe that the in-hospital segment presents enormous market opportunities and will become an increasingly important segment of China’s cancer genotyping market. Given this opportunity, in 2016, we began offering turn-key solutions under our in-hospital model, enabling our partner hospitals that use our reagent kits to perform testing on their own in a standardized manner with our ongoing training and support.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Central Laboratory Model</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We began offering NGS-based cancer therapy selection services under a central laboratory model in 2014, and we have become the market leader in the central laboratory segment of China’s NGS-based cancer therapy selection market. Under our central laboratory model, cancer patients’ treating physicians order our cancer therapy selection tests for their patients during the diagnostic process, have the patients’ liquid biopsy or tissue samples shipped to our central laboratory in Guangzhou for testing, and design treatment plans based on our test results. Our test reports communicate the actionable genomic alterations in a patient’s cancer and match those alterations with potentially relevant treatment options, including targeted therapies and immunotherapies, according to predicted efficacy or resistance. Patients pay us for these tests with out-of-pocket payments.</w:t>
      </w:r>
    </w:p>
    <w:p>
      <w:pPr>
        <w:spacing w:after="0" w:line="16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have established a dedicated sales and marketing team that focuses on expanding our brand awareness and growing our coverage of hospitals and physicians across China. Our marketing efforts for our central laboratory model include educating hospitals and physicians on the benefits of our tests and the clinical data supporting our test results. We also work with medical professional societies to promote the awareness of the clinical benefits of our tests and NGS-based cancer therapy selection in general, and we sponsor or present at medical, scientific or industry exhibitions and conferences and pursue or support scientific studies of our tests and the publication of results in academic journals.</w:t>
      </w:r>
    </w:p>
    <w:p>
      <w:pPr>
        <w:spacing w:after="0" w:line="176"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Since our inception, over 5,120 physicians from 700 hospitals across China have ordered our cancer therapy selection tests under our central laboratory model. The table below sets forth the key operating data for our central laboratory model for the periods presented:</w:t>
      </w:r>
    </w:p>
    <w:p>
      <w:pPr>
        <w:spacing w:after="0" w:line="16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96"/>
              </w:rPr>
              <w:t>Year ended December 31,</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1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7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5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5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209"/>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patients tested</w:t>
            </w:r>
            <w:r>
              <w:rPr>
                <w:rFonts w:ascii="Arial" w:cs="Arial" w:eastAsia="Arial" w:hAnsi="Arial"/>
                <w:sz w:val="15"/>
                <w:szCs w:val="15"/>
                <w:color w:val="auto"/>
              </w:rPr>
              <w:t>(1)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9,464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15,821</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23,075</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25,262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Number of ordering physicians</w:t>
            </w:r>
            <w:r>
              <w:rPr>
                <w:rFonts w:ascii="Arial" w:cs="Arial" w:eastAsia="Arial" w:hAnsi="Arial"/>
                <w:sz w:val="15"/>
                <w:szCs w:val="15"/>
                <w:color w:val="auto"/>
              </w:rPr>
              <w:t>(2)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1,135</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1,632</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1,318</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Number of ordering hospitals</w:t>
            </w:r>
            <w:r>
              <w:rPr>
                <w:rFonts w:ascii="Arial" w:cs="Arial" w:eastAsia="Arial" w:hAnsi="Arial"/>
                <w:sz w:val="15"/>
                <w:szCs w:val="15"/>
                <w:color w:val="auto"/>
              </w:rPr>
              <w:t>(3)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A patient who took multiple tests in different quarters of a given period is counted only once.</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25"/>
        </w:numPr>
        <w:rPr>
          <w:rFonts w:ascii="Arial" w:cs="Arial" w:eastAsia="Arial" w:hAnsi="Arial"/>
          <w:sz w:val="13"/>
          <w:szCs w:val="13"/>
          <w:color w:val="auto"/>
        </w:rPr>
      </w:pPr>
      <w:r>
        <w:rPr>
          <w:rFonts w:ascii="Arial" w:cs="Arial" w:eastAsia="Arial" w:hAnsi="Arial"/>
          <w:sz w:val="16"/>
          <w:szCs w:val="16"/>
          <w:color w:val="auto"/>
        </w:rPr>
        <w:t>Represents physicians who on average order at least one test from us every month during a relevant period under the central laboratory model.</w:t>
      </w:r>
    </w:p>
    <w:p>
      <w:pPr>
        <w:spacing w:after="0" w:line="32" w:lineRule="exact"/>
        <w:rPr>
          <w:rFonts w:ascii="Arial" w:cs="Arial" w:eastAsia="Arial" w:hAnsi="Arial"/>
          <w:sz w:val="13"/>
          <w:szCs w:val="13"/>
          <w:color w:val="auto"/>
        </w:rPr>
      </w:pPr>
    </w:p>
    <w:p>
      <w:pPr>
        <w:ind w:left="540" w:right="380" w:hanging="424"/>
        <w:spacing w:after="0" w:line="260" w:lineRule="auto"/>
        <w:tabs>
          <w:tab w:leader="none" w:pos="5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Represents hospitals whose residing physicians who on average order at least one test from us every month during a relevant period under the central laboratory model.</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160" w:type="dxa"/>
            <w:vAlign w:val="bottom"/>
          </w:tcPr>
          <w:p>
            <w:pPr>
              <w:spacing w:after="0"/>
              <w:rPr>
                <w:sz w:val="10"/>
                <w:szCs w:val="10"/>
                <w:color w:val="auto"/>
              </w:rPr>
            </w:pPr>
          </w:p>
        </w:tc>
        <w:tc>
          <w:tcPr>
            <w:tcW w:w="9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9"/>
              </w:rPr>
              <w:t>March 31,</w:t>
            </w: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1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8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2"/>
              </w:rPr>
              <w:t>June 30,</w:t>
            </w: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r>
      <w:tr>
        <w:trPr>
          <w:trHeight w:val="171"/>
        </w:trPr>
        <w:tc>
          <w:tcPr>
            <w:tcW w:w="3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Number of patients tested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7,252</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6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Number of ordering physicians</w:t>
            </w:r>
            <w:r>
              <w:rPr>
                <w:rFonts w:ascii="Arial" w:cs="Arial" w:eastAsia="Arial" w:hAnsi="Arial"/>
                <w:sz w:val="15"/>
                <w:szCs w:val="15"/>
                <w:color w:val="auto"/>
              </w:rPr>
              <w:t>(1)</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984</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1,059</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1,155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1,222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810</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1,175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1,194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1,114</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Number of ordering hospitals</w:t>
            </w:r>
            <w:r>
              <w:rPr>
                <w:rFonts w:ascii="Arial" w:cs="Arial" w:eastAsia="Arial" w:hAnsi="Arial"/>
                <w:sz w:val="15"/>
                <w:szCs w:val="15"/>
                <w:color w:val="auto"/>
              </w:rPr>
              <w:t>(2)</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3"/>
          <w:szCs w:val="13"/>
          <w:color w:val="auto"/>
        </w:rPr>
      </w:pPr>
      <w:r>
        <w:rPr>
          <w:rFonts w:ascii="Arial" w:cs="Arial" w:eastAsia="Arial" w:hAnsi="Arial"/>
          <w:sz w:val="16"/>
          <w:szCs w:val="16"/>
          <w:color w:val="auto"/>
        </w:rPr>
        <w:t>Represents physicians who on average order at least one test from us every month during a relevant period under the central laboratory model.</w:t>
      </w:r>
    </w:p>
    <w:p>
      <w:pPr>
        <w:spacing w:after="0" w:line="46" w:lineRule="exact"/>
        <w:rPr>
          <w:rFonts w:ascii="Arial" w:cs="Arial" w:eastAsia="Arial" w:hAnsi="Arial"/>
          <w:sz w:val="13"/>
          <w:szCs w:val="13"/>
          <w:color w:val="auto"/>
        </w:rPr>
      </w:pPr>
    </w:p>
    <w:p>
      <w:pPr>
        <w:ind w:left="540" w:right="380" w:hanging="424"/>
        <w:spacing w:after="0" w:line="260" w:lineRule="auto"/>
        <w:tabs>
          <w:tab w:leader="none" w:pos="5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Represents hospitals whose residing physicians who on average order at least one test from us every month during a relevant period under the central laboratory model.</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In-hospital Model</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Despite the large and growing demand, Chinese hospitals face multiple challenges in adopting NGS-based cancer therapy selection testing in house, which has technically sophisticated workflows such as library preparation and complex data analysis and interpretation. As a result, these hospitals are in urgent need of high-performing and greatly standardized technologies and products that adhere to their rigorous quality requirements and operating protocols. Strategically focusing on the in-hospital segment of China’s cancer genotyping industry since our inception, in 2016 we became the first company in China to offer Chinese hospitals a turn-key solution and ongoing support that effectively addresses their challenges in adopting NGS-based cancer therapy selection.</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flow chart below sets forth the key steps of our in-hospital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1395095</wp:posOffset>
            </wp:positionV>
            <wp:extent cx="771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168910</wp:posOffset>
            </wp:positionV>
            <wp:extent cx="4920615" cy="9861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2061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right="200" w:hanging="424"/>
        <w:spacing w:after="0" w:line="277" w:lineRule="auto"/>
        <w:tabs>
          <w:tab w:leader="none" w:pos="540" w:val="left"/>
        </w:tabs>
        <w:numPr>
          <w:ilvl w:val="0"/>
          <w:numId w:val="27"/>
        </w:numPr>
        <w:rPr>
          <w:rFonts w:ascii="Arial" w:cs="Arial" w:eastAsia="Arial" w:hAnsi="Arial"/>
          <w:sz w:val="15"/>
          <w:szCs w:val="15"/>
          <w:color w:val="auto"/>
        </w:rPr>
      </w:pPr>
      <w:r>
        <w:rPr>
          <w:rFonts w:ascii="Arial" w:cs="Arial" w:eastAsia="Arial" w:hAnsi="Arial"/>
          <w:sz w:val="18"/>
          <w:szCs w:val="18"/>
          <w:color w:val="auto"/>
        </w:rPr>
        <w:t>Typically include tests conducted by the hospitals to compare our tests against conventional cancer therapy selection methods, as well as against those offered by other NGS-based cancer therapy selection companies.</w:t>
      </w:r>
    </w:p>
    <w:p>
      <w:pPr>
        <w:spacing w:after="0" w:line="6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To form collaborations with partner hospitals, we must complete each partner hospitals’ rigorous onboarding process, including (i) benchmarking tests conducted by the hospitals, including comparisons of our tests against conventional cancer therapy selection methods such as PCR and FISH, as well as against those offered by other NGS-based cancer therapy selection companies, and (ii) other comprehensive assessments to evaluate our technical and service capabilities. Throughout this process, our dedicated in-hospital model sales and technical support teams, working closely with our research and development, medical support and other teams, collaborate with our partner hospitals to redesign their in-hospital laboratories, complete tender processes, source laboratory equipment and supplies, install laboratory systems and customize the hospitals’ testing workflow, data analysis and report generation—all while ensuring compliance with the hospitals’ rigorous quality and operating protocols.</w:t>
      </w:r>
    </w:p>
    <w:p>
      <w:pPr>
        <w:spacing w:after="0" w:line="166"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Once an in-hospital laboratory is in operation, the partner hospital purchases our products to perform NGS-based cancer therapy selection on a recurring basis. We are dedicated to continuously optimizing the operations of these in-hospital laboratories and maintaining our relationships with our partner hospitals. We frequently conduct onsite visits and provide remote technical support, such as data analytics support, to ensure optimal laboratory performance. In September 2019, we launched our fully automated NGS library preparation system, Magnis BR, and associated library preparation reagents, which we co-developed with Agilent. Magnis BR and its associated reagents are particularly suitable for Chinese hospitals because they fully automate the NGS library preparation process and convert DNA samples into sequencing-ready libraries in around nine hours, which help partner hospitals streamline their testing workflow, reduce manual labor and minimize risks.</w:t>
      </w:r>
    </w:p>
    <w:p>
      <w:pPr>
        <w:spacing w:after="0" w:line="166"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Through our strategic focus—supported by our high-quality products and industry-leading technological capabilities—we have become the market leader in the in-hospital segment of China’s NGS-based cancer therapy selection market. Our in-hospital model represents a stable and growing revenue stream that consists of fees from initial facilitation of the hospitals’ laboratory equipment purchases followed by recurring sales of our products.</w:t>
      </w:r>
    </w:p>
    <w:p>
      <w:pPr>
        <w:spacing w:after="0" w:line="149"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We have partnered with 52 Class III Grade A hospitals (the highest of China’s nine-tiered hospital designation system) in 29 cities across China, to establish in-hospital laboratories. The table below sets forth the cumulative numbers of our partner hospitals as of the dates indicated:</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4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2016</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2019</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Pipeline partner hospitals</w:t>
            </w:r>
            <w:r>
              <w:rPr>
                <w:rFonts w:ascii="Arial" w:cs="Arial" w:eastAsia="Arial" w:hAnsi="Arial"/>
                <w:sz w:val="15"/>
                <w:szCs w:val="15"/>
                <w:color w:val="auto"/>
              </w:rPr>
              <w:t>(1)</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Contracted partner hospitals</w:t>
            </w:r>
            <w:r>
              <w:rPr>
                <w:rFonts w:ascii="Arial" w:cs="Arial" w:eastAsia="Arial" w:hAnsi="Arial"/>
                <w:sz w:val="15"/>
                <w:szCs w:val="15"/>
                <w:color w:val="auto"/>
              </w:rPr>
              <w:t>(2)</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7"/>
        </w:trPr>
        <w:tc>
          <w:tcPr>
            <w:tcW w:w="8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number of partner hospitals</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9</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0"/>
        </w:trPr>
        <w:tc>
          <w:tcPr>
            <w:tcW w:w="8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180" w:hanging="424"/>
        <w:spacing w:after="0" w:line="263" w:lineRule="auto"/>
        <w:tabs>
          <w:tab w:leader="none" w:pos="540" w:val="left"/>
        </w:tabs>
        <w:numPr>
          <w:ilvl w:val="0"/>
          <w:numId w:val="28"/>
        </w:numPr>
        <w:rPr>
          <w:rFonts w:ascii="Arial" w:cs="Arial" w:eastAsia="Arial" w:hAnsi="Arial"/>
          <w:sz w:val="15"/>
          <w:szCs w:val="15"/>
          <w:color w:val="auto"/>
        </w:rPr>
      </w:pPr>
      <w:r>
        <w:rPr>
          <w:rFonts w:ascii="Arial" w:cs="Arial" w:eastAsia="Arial" w:hAnsi="Arial"/>
          <w:sz w:val="18"/>
          <w:szCs w:val="18"/>
          <w:color w:val="auto"/>
        </w:rPr>
        <w:t>Refers to hospitals that have established in-hospital laboratories, completed laboratory equipment installation and commenced pilot testing using our products. It generally takes 12 to 30 months for hospitals to progress from pipeline partner hospitals to contracted partner hospitals, which generate recurring revenue from the sale of reagent kits.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primarily perform cancer therapy selection using both tissue and liquid biopsy tests under the central laboratory model in our NCCL- and CLIA-certified, CAP-accredited central laboratory in Guangzhou. Our central laboratory currently has an annual capacity of over 100,000 tests, which is expected to increase to 250,000 tests by the end of 2021 through the adoption of automation systems and laboratory expansions. We achieve a median turnaround time of six days for both of our liquid biopsy and tissue-based tests. Our test reports contain comprehensive information about the detected actionable genomic alterations and recommend targeted therapies and immunotherapies for each genomic alteration, according to predicted efficacy and resistance.</w:t>
      </w:r>
    </w:p>
    <w:p>
      <w:pPr>
        <w:spacing w:after="0" w:line="19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have applied good clinical practices, or GCP, to the operations of our central laboratory. Our GCP system consists of a quality control, or QC, system, a quality assurance, or QA, system and a corrective and preventive action, or CAPA, management system. We have incorporated these comprehensive quality control measures in all stages of our testing process to ensure the high-quality, consistency, and timeliness of our testing results. We have also participated in various proficiency tests and external quality assessments for the testing services we offer, including, among others, ctDNA testing, NGS solid tumor testing, and BRCA testing and interpretation. Our industry-leading technological capabilities and QC system have resulted in our operational excellence. For example, the testing success rate of our OncoCompass</w:t>
      </w:r>
      <w:r>
        <w:rPr>
          <w:rFonts w:ascii="Arial" w:cs="Arial" w:eastAsia="Arial" w:hAnsi="Arial"/>
          <w:sz w:val="15"/>
          <w:szCs w:val="15"/>
          <w:color w:val="auto"/>
        </w:rPr>
        <w:t>TM</w:t>
      </w:r>
      <w:r>
        <w:rPr>
          <w:rFonts w:ascii="Arial" w:cs="Arial" w:eastAsia="Arial" w:hAnsi="Arial"/>
          <w:sz w:val="18"/>
          <w:szCs w:val="18"/>
          <w:color w:val="auto"/>
        </w:rPr>
        <w:t xml:space="preserve"> Target is 99.5% (represents the proportion of clinical samples tested by OncoCompass</w:t>
      </w:r>
      <w:r>
        <w:rPr>
          <w:rFonts w:ascii="Arial" w:cs="Arial" w:eastAsia="Arial" w:hAnsi="Arial"/>
          <w:sz w:val="15"/>
          <w:szCs w:val="15"/>
          <w:color w:val="auto"/>
        </w:rPr>
        <w:t>TM</w:t>
      </w:r>
      <w:r>
        <w:rPr>
          <w:rFonts w:ascii="Arial" w:cs="Arial" w:eastAsia="Arial" w:hAnsi="Arial"/>
          <w:sz w:val="18"/>
          <w:szCs w:val="18"/>
          <w:color w:val="auto"/>
        </w:rPr>
        <w:t xml:space="preserve"> Target that passed our quality control standards—including cfDNA extraction amount, pre-library quality, library quality and sequencing data quality—and therefore test reports were successfully generated), which we believe is on par with world-class genomic testing companies.</w:t>
      </w:r>
    </w:p>
    <w:p>
      <w:pPr>
        <w:spacing w:after="0" w:line="19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have GMP-standard manufacturing facilities in Guangzhou for the manufacturing of our reagent kits, with an aggregate annual production capacity of 250,000 kits. We plan to substantially increase our production capacity to meet rising market demand by installing automated workstations in our manufacturing facilities. We have adopted various QC measures to ensure that we comply with all applicable regulations, standards and internal policies during the manufacturing process. In October 2018, our manufacturing facilities obtained ISO13485 certification. This ISO standard demonstrates that we have a comprehensive quality management system for the design and manufacture of medical devices.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typically source sequencers, reagents and certain other laboratory supplies used in our laboratory operations from trading companies that procure laboratory supplies from a variety of manufacturers. We generally enter into short-term supply agreements with our suppliers on an as-needed basis, each specifying the quantity, quality, warranty, delivery and payment terms and other customary terms for the respective batch of laboratory equipment and supply we purchase. Our suppliers generally grant us a credit term of 30 to 90 days, and are responsible for the repair and maintenance of the laboratory equipment and supplies they supply.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efforts are primarily focused on the following areas:</w:t>
      </w:r>
    </w:p>
    <w:p>
      <w:pPr>
        <w:spacing w:after="0" w:line="225"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b w:val="1"/>
          <w:bCs w:val="1"/>
          <w:i w:val="1"/>
          <w:iCs w:val="1"/>
          <w:color w:val="auto"/>
        </w:rPr>
        <w:t>Development of, and improvement on, NGS-based cancer therapy selection products</w:t>
      </w:r>
      <w:r>
        <w:rPr>
          <w:rFonts w:ascii="Arial" w:cs="Arial" w:eastAsia="Arial" w:hAnsi="Arial"/>
          <w:sz w:val="16"/>
          <w:szCs w:val="16"/>
          <w:color w:val="auto"/>
        </w:rPr>
        <w:t>. Based on clinical market demand and scientific progress,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design a series of different panels to meet different clinical needs. In particular, we are continuously working on designing products that require lower sample input and have higher library conversion rate and shorter hands-on time. We are also working to increase the automation</w:t>
      </w:r>
    </w:p>
    <w:p>
      <w:pPr>
        <w:spacing w:after="0" w:line="2" w:lineRule="exact"/>
        <w:rPr>
          <w:sz w:val="20"/>
          <w:szCs w:val="20"/>
          <w:color w:val="auto"/>
        </w:rPr>
      </w:pPr>
    </w:p>
    <w:p>
      <w:pPr>
        <w:jc w:val="both"/>
        <w:ind w:left="120" w:right="280"/>
        <w:spacing w:after="0" w:line="255" w:lineRule="auto"/>
        <w:rPr>
          <w:sz w:val="20"/>
          <w:szCs w:val="20"/>
          <w:color w:val="auto"/>
        </w:rPr>
      </w:pPr>
      <w:r>
        <w:rPr>
          <w:rFonts w:ascii="Arial" w:cs="Arial" w:eastAsia="Arial" w:hAnsi="Arial"/>
          <w:sz w:val="18"/>
          <w:szCs w:val="18"/>
          <w:color w:val="auto"/>
        </w:rPr>
        <w:t>of NGS-based cancer therapy selection products to alleviate manual workload and improve therapy selection precision. Our bioinformatics team will continue improving our data analysis algorithms and developing our analysis pipeline. Our validation team is working on thoroughly evaluating the sensitivity, specificity, reproducibility and accuracy of each product before launch.</w:t>
      </w:r>
    </w:p>
    <w:p>
      <w:pPr>
        <w:spacing w:after="0" w:line="19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b w:val="1"/>
          <w:bCs w:val="1"/>
          <w:i w:val="1"/>
          <w:iCs w:val="1"/>
          <w:color w:val="auto"/>
        </w:rPr>
        <w:t>Development of more reagent kits for NMPA approval</w:t>
      </w:r>
      <w:r>
        <w:rPr>
          <w:rFonts w:ascii="Arial" w:cs="Arial" w:eastAsia="Arial" w:hAnsi="Arial"/>
          <w:sz w:val="18"/>
          <w:szCs w:val="18"/>
          <w:color w:val="auto"/>
        </w:rPr>
        <w:t>. We are developing a number of products targeting different cancers for the NMPA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For each product, we will implement strict design control process, perform analytical validation, and conform the manufacturing to GMP and ISO13485 standards. We are also developing the corresponding software solutions for these products.</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b w:val="1"/>
          <w:bCs w:val="1"/>
          <w:i w:val="1"/>
          <w:iCs w:val="1"/>
          <w:color w:val="auto"/>
        </w:rPr>
        <w:t>Development and validation of MRD detection products</w:t>
      </w:r>
      <w:r>
        <w:rPr>
          <w:rFonts w:ascii="Arial" w:cs="Arial" w:eastAsia="Arial" w:hAnsi="Arial"/>
          <w:sz w:val="18"/>
          <w:szCs w:val="18"/>
          <w:color w:val="auto"/>
        </w:rPr>
        <w:t>. We are conducting analytical and clinical validation studies on our UMI-based liquid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biopsy products for their sensitivity and utility for MRD detection, which could demonstrate clinical benefits for early-stage patients by predicting their risk of recurrence after treatment.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b w:val="1"/>
          <w:bCs w:val="1"/>
          <w:i w:val="1"/>
          <w:iCs w:val="1"/>
          <w:color w:val="auto"/>
        </w:rPr>
        <w:t>Development of early cancer detection technologies and products</w:t>
      </w:r>
      <w:r>
        <w:rPr>
          <w:rFonts w:ascii="Arial" w:cs="Arial" w:eastAsia="Arial" w:hAnsi="Arial"/>
          <w:sz w:val="16"/>
          <w:szCs w:val="16"/>
          <w:color w:val="auto"/>
        </w:rPr>
        <w:t>. Building upon brELSA</w:t>
      </w:r>
      <w:r>
        <w:rPr>
          <w:rFonts w:ascii="Arial" w:cs="Arial" w:eastAsia="Arial" w:hAnsi="Arial"/>
          <w:sz w:val="13"/>
          <w:szCs w:val="13"/>
          <w:color w:val="auto"/>
        </w:rPr>
        <w:t>TM</w:t>
      </w:r>
      <w:r>
        <w:rPr>
          <w:rFonts w:ascii="Arial" w:cs="Arial" w:eastAsia="Arial" w:hAnsi="Arial"/>
          <w:sz w:val="16"/>
          <w:szCs w:val="16"/>
          <w:color w:val="auto"/>
        </w:rPr>
        <w:t>, our targeted DNA methylation-based library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preparation method, and brMERMAID</w:t>
      </w:r>
      <w:r>
        <w:rPr>
          <w:rFonts w:ascii="Arial" w:cs="Arial" w:eastAsia="Arial" w:hAnsi="Arial"/>
          <w:sz w:val="13"/>
          <w:szCs w:val="13"/>
          <w:color w:val="auto"/>
        </w:rPr>
        <w:t>TM</w:t>
      </w:r>
      <w:r>
        <w:rPr>
          <w:rFonts w:ascii="Arial" w:cs="Arial" w:eastAsia="Arial" w:hAnsi="Arial"/>
          <w:sz w:val="16"/>
          <w:szCs w:val="16"/>
          <w:color w:val="auto"/>
        </w:rPr>
        <w:t>, our machine learning algorithm, we will keep improving the biochemistry behind our technologies to enhance background noise suppression, allowing for more accurate qualification and enabling our tests to be compatible with more sequencers, as well as improving our early detection prediction models for cancer detection sensitivity, specificity and tissue origin determination accuracy.</w:t>
      </w:r>
    </w:p>
    <w:p>
      <w:pPr>
        <w:spacing w:after="0" w:line="15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b w:val="1"/>
          <w:bCs w:val="1"/>
          <w:i w:val="1"/>
          <w:iCs w:val="1"/>
          <w:color w:val="auto"/>
        </w:rPr>
        <w:t>Development of automation solutions for current and future products</w:t>
      </w:r>
      <w:r>
        <w:rPr>
          <w:rFonts w:ascii="Arial" w:cs="Arial" w:eastAsia="Arial" w:hAnsi="Arial"/>
          <w:sz w:val="18"/>
          <w:szCs w:val="18"/>
          <w:color w:val="auto"/>
        </w:rPr>
        <w:t>. To alleviate complicated workflow for NGS-based cancer therapy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selection products, we are developing multiple automation solutions to streamline the workflow and reduce human intervention and turnaround time. Solutions we are now developing include robotic liquid handling system and corresponding laboratory information management system integration to work with high, medium, and low throughput laboratory requirement.</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Research and technology development on additional clinically actionable biomarkers</w:t>
      </w:r>
      <w:r>
        <w:rPr>
          <w:rFonts w:ascii="Arial" w:cs="Arial" w:eastAsia="Arial" w:hAnsi="Arial"/>
          <w:sz w:val="18"/>
          <w:szCs w:val="18"/>
          <w:color w:val="auto"/>
        </w:rPr>
        <w:t>. We are also conducting research and development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clinically actionable biomarkers. For example, we are developing a technology to sequence RNA samples to detect clinically significant RNA alterations, which is expected to be a useful supplement to DNA sequencing.</w:t>
      </w:r>
    </w:p>
    <w:p>
      <w:pPr>
        <w:spacing w:after="0" w:line="184" w:lineRule="exact"/>
        <w:rPr>
          <w:sz w:val="20"/>
          <w:szCs w:val="20"/>
          <w:color w:val="auto"/>
        </w:rPr>
      </w:pPr>
    </w:p>
    <w:p>
      <w:pPr>
        <w:jc w:val="both"/>
        <w:ind w:left="120" w:right="260" w:firstLine="440"/>
        <w:spacing w:after="0" w:line="277" w:lineRule="auto"/>
        <w:rPr>
          <w:sz w:val="20"/>
          <w:szCs w:val="20"/>
          <w:color w:val="auto"/>
        </w:rPr>
      </w:pPr>
      <w:r>
        <w:rPr>
          <w:rFonts w:ascii="Arial" w:cs="Arial" w:eastAsia="Arial" w:hAnsi="Arial"/>
          <w:sz w:val="18"/>
          <w:szCs w:val="18"/>
          <w:color w:val="auto"/>
        </w:rPr>
        <w:t>In 2018, 2019 and 2020, our research and development expenses was RMB105.3 million, RMB156.9 million and RMB263.9 million (US$40.5 million),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protect our intellectual property rights through a combination of patents, trademarks, copyrights, trade secrets, including know-how, license agreements, confidentiality agreements and procedures, non-disclosure agreements with third parties, employee disclosure and invention assignment agreements and other contractual rights.</w:t>
      </w:r>
    </w:p>
    <w:p>
      <w:pPr>
        <w:spacing w:after="0" w:line="184"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Our patent strategy is focused on seeking coverage for our core technologies and specific follow-on applications, implementations for detecting and monitoring cancer by determining genomic alterations, and evaluating the status of specific biomarkers in liquid or tissue samples. In addition, we file for patent protection on our on-going research and development, particularly into early-stage cancer screening.</w:t>
      </w:r>
    </w:p>
    <w:p>
      <w:pPr>
        <w:spacing w:after="0" w:line="16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Our patents and patents applications are primarily related to our proprietary library preparation technologies, algorithms and laboratory equipment and processes. As of December 31, 2020, we held 16 patents in China, which will expire between 2025 and 2039. We held one patent in Hong Kong, which will expire in 2038. As of the same date, we had ten pending patent applications in China, five pending patent applications in Hong Kong, two pending patent applications in the United States, two pending patent applications in Europe, two pending patent applications in Japan, one pending patent application in Canada, one pending patent application in Brazil, one pending patent application in Singapore, one pending patent application in Australia, and five international applications strategically filed under the Patent Cooperation Treaty, or PCT, of which one is the basis of pending registration for our MSI calling algorithms in the U.S., European Patent Office and Japan and another two are the basis of pending registration for brELSA</w:t>
      </w:r>
      <w:r>
        <w:rPr>
          <w:rFonts w:ascii="Arial" w:cs="Arial" w:eastAsia="Arial" w:hAnsi="Arial"/>
          <w:sz w:val="14"/>
          <w:szCs w:val="14"/>
          <w:color w:val="auto"/>
        </w:rPr>
        <w:t>™</w:t>
      </w:r>
      <w:r>
        <w:rPr>
          <w:rFonts w:ascii="Arial" w:cs="Arial" w:eastAsia="Arial" w:hAnsi="Arial"/>
          <w:sz w:val="17"/>
          <w:szCs w:val="17"/>
          <w:color w:val="auto"/>
        </w:rPr>
        <w:t>, our targeted DNA-methylation based library preparation method for early cancer detection, in the U.S., Canada, Brazil, Singapore, Australia, China, Hong Kong, Japan and the European Patent Office.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details of our key patents: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Description of patent</w:t>
            </w:r>
          </w:p>
        </w:tc>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20" w:type="dxa"/>
            <w:vAlign w:val="bottom"/>
            <w:gridSpan w:val="2"/>
          </w:tcPr>
          <w:p>
            <w:pPr>
              <w:ind w:left="1100"/>
              <w:spacing w:after="0"/>
              <w:rPr>
                <w:sz w:val="20"/>
                <w:szCs w:val="20"/>
                <w:color w:val="auto"/>
              </w:rPr>
            </w:pPr>
            <w:r>
              <w:rPr>
                <w:rFonts w:ascii="Arial" w:cs="Arial" w:eastAsia="Arial" w:hAnsi="Arial"/>
                <w:sz w:val="14"/>
                <w:szCs w:val="14"/>
                <w:b w:val="1"/>
                <w:bCs w:val="1"/>
                <w:color w:val="auto"/>
              </w:rPr>
              <w:t>Use and application</w:t>
            </w:r>
          </w:p>
        </w:tc>
        <w:tc>
          <w:tcPr>
            <w:tcW w:w="1860" w:type="dxa"/>
            <w:vAlign w:val="bottom"/>
            <w:gridSpan w:val="2"/>
          </w:tcPr>
          <w:p>
            <w:pPr>
              <w:ind w:left="500"/>
              <w:spacing w:after="0"/>
              <w:rPr>
                <w:sz w:val="20"/>
                <w:szCs w:val="20"/>
                <w:color w:val="auto"/>
              </w:rPr>
            </w:pPr>
            <w:r>
              <w:rPr>
                <w:rFonts w:ascii="Arial" w:cs="Arial" w:eastAsia="Arial" w:hAnsi="Arial"/>
                <w:sz w:val="14"/>
                <w:szCs w:val="14"/>
                <w:b w:val="1"/>
                <w:bCs w:val="1"/>
                <w:color w:val="auto"/>
              </w:rPr>
              <w:t>Jurisdiction</w:t>
            </w:r>
          </w:p>
        </w:tc>
        <w:tc>
          <w:tcPr>
            <w:tcW w:w="1760" w:type="dxa"/>
            <w:vAlign w:val="bottom"/>
          </w:tcPr>
          <w:p>
            <w:pPr>
              <w:jc w:val="right"/>
              <w:ind w:right="316"/>
              <w:spacing w:after="0"/>
              <w:rPr>
                <w:sz w:val="20"/>
                <w:szCs w:val="20"/>
                <w:color w:val="auto"/>
              </w:rPr>
            </w:pPr>
            <w:r>
              <w:rPr>
                <w:rFonts w:ascii="Arial" w:cs="Arial" w:eastAsia="Arial" w:hAnsi="Arial"/>
                <w:sz w:val="14"/>
                <w:szCs w:val="14"/>
                <w:b w:val="1"/>
                <w:bCs w:val="1"/>
                <w:color w:val="auto"/>
              </w:rPr>
              <w:t>Expiration date</w:t>
            </w:r>
          </w:p>
        </w:tc>
      </w:tr>
      <w:tr>
        <w:trPr>
          <w:trHeight w:val="175"/>
        </w:trPr>
        <w:tc>
          <w:tcPr>
            <w:tcW w:w="3720" w:type="dxa"/>
            <w:vAlign w:val="bottom"/>
            <w:gridSpan w:val="2"/>
          </w:tcPr>
          <w:p>
            <w:pPr>
              <w:spacing w:after="0" w:line="176" w:lineRule="exact"/>
              <w:rPr>
                <w:sz w:val="20"/>
                <w:szCs w:val="20"/>
                <w:color w:val="auto"/>
              </w:rPr>
            </w:pPr>
            <w:r>
              <w:rPr>
                <w:rFonts w:ascii="Arial" w:cs="Arial" w:eastAsia="Arial" w:hAnsi="Arial"/>
                <w:sz w:val="18"/>
                <w:szCs w:val="18"/>
                <w:color w:val="auto"/>
              </w:rPr>
              <w:t>A library preparation method and associated</w:t>
            </w:r>
          </w:p>
        </w:tc>
        <w:tc>
          <w:tcPr>
            <w:tcW w:w="160" w:type="dxa"/>
            <w:vAlign w:val="bottom"/>
          </w:tcPr>
          <w:p>
            <w:pPr>
              <w:spacing w:after="0"/>
              <w:rPr>
                <w:sz w:val="15"/>
                <w:szCs w:val="15"/>
                <w:color w:val="auto"/>
              </w:rPr>
            </w:pPr>
          </w:p>
        </w:tc>
        <w:tc>
          <w:tcPr>
            <w:tcW w:w="34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Our cancer therapy selection tests</w:t>
            </w:r>
          </w:p>
        </w:tc>
        <w:tc>
          <w:tcPr>
            <w:tcW w:w="120" w:type="dxa"/>
            <w:vAlign w:val="bottom"/>
          </w:tcPr>
          <w:p>
            <w:pPr>
              <w:spacing w:after="0"/>
              <w:rPr>
                <w:sz w:val="15"/>
                <w:szCs w:val="15"/>
                <w:color w:val="auto"/>
              </w:rPr>
            </w:pPr>
          </w:p>
        </w:tc>
        <w:tc>
          <w:tcPr>
            <w:tcW w:w="17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China</w:t>
            </w:r>
          </w:p>
        </w:tc>
        <w:tc>
          <w:tcPr>
            <w:tcW w:w="120" w:type="dxa"/>
            <w:vAlign w:val="bottom"/>
          </w:tcPr>
          <w:p>
            <w:pPr>
              <w:spacing w:after="0"/>
              <w:rPr>
                <w:sz w:val="15"/>
                <w:szCs w:val="15"/>
                <w:color w:val="auto"/>
              </w:rPr>
            </w:pPr>
          </w:p>
        </w:tc>
        <w:tc>
          <w:tcPr>
            <w:tcW w:w="1760" w:type="dxa"/>
            <w:vAlign w:val="bottom"/>
            <w:tcBorders>
              <w:top w:val="single" w:sz="8" w:color="auto"/>
            </w:tcBorders>
          </w:tcPr>
          <w:p>
            <w:pPr>
              <w:jc w:val="right"/>
              <w:ind w:right="1316"/>
              <w:spacing w:after="0" w:line="176" w:lineRule="exact"/>
              <w:rPr>
                <w:sz w:val="20"/>
                <w:szCs w:val="20"/>
                <w:color w:val="auto"/>
              </w:rPr>
            </w:pPr>
            <w:r>
              <w:rPr>
                <w:rFonts w:ascii="Arial" w:cs="Arial" w:eastAsia="Arial" w:hAnsi="Arial"/>
                <w:sz w:val="18"/>
                <w:szCs w:val="18"/>
                <w:color w:val="auto"/>
                <w:w w:val="84"/>
              </w:rPr>
              <w:t>2036</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reagents (HS library preparation technology)</w:t>
            </w:r>
          </w:p>
        </w:tc>
        <w:tc>
          <w:tcPr>
            <w:tcW w:w="1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10"/>
        </w:trPr>
        <w:tc>
          <w:tcPr>
            <w:tcW w:w="3720" w:type="dxa"/>
            <w:vAlign w:val="bottom"/>
            <w:gridSpan w:val="2"/>
          </w:tcPr>
          <w:p>
            <w:pPr>
              <w:spacing w:after="0"/>
              <w:rPr>
                <w:sz w:val="20"/>
                <w:szCs w:val="20"/>
                <w:color w:val="auto"/>
              </w:rPr>
            </w:pPr>
            <w:r>
              <w:rPr>
                <w:rFonts w:ascii="Arial" w:cs="Arial" w:eastAsia="Arial" w:hAnsi="Arial"/>
                <w:sz w:val="18"/>
                <w:szCs w:val="18"/>
                <w:color w:val="auto"/>
                <w:w w:val="93"/>
              </w:rPr>
              <w:t>A composition of matter that detects the presence</w:t>
            </w: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w w:val="93"/>
              </w:rPr>
              <w:t>Tests such as ColonCore and pan-cancer tests</w:t>
            </w:r>
          </w:p>
        </w:tc>
        <w:tc>
          <w:tcPr>
            <w:tcW w:w="1860" w:type="dxa"/>
            <w:vAlign w:val="bottom"/>
            <w:gridSpan w:val="2"/>
          </w:tcPr>
          <w:p>
            <w:pPr>
              <w:spacing w:after="0"/>
              <w:rPr>
                <w:sz w:val="20"/>
                <w:szCs w:val="20"/>
                <w:color w:val="auto"/>
              </w:rPr>
            </w:pPr>
            <w:r>
              <w:rPr>
                <w:rFonts w:ascii="Arial" w:cs="Arial" w:eastAsia="Arial" w:hAnsi="Arial"/>
                <w:sz w:val="18"/>
                <w:szCs w:val="18"/>
                <w:color w:val="auto"/>
              </w:rPr>
              <w:t>China</w:t>
            </w:r>
          </w:p>
        </w:tc>
        <w:tc>
          <w:tcPr>
            <w:tcW w:w="1760" w:type="dxa"/>
            <w:vAlign w:val="bottom"/>
          </w:tcPr>
          <w:p>
            <w:pPr>
              <w:jc w:val="right"/>
              <w:ind w:right="1316"/>
              <w:spacing w:after="0"/>
              <w:rPr>
                <w:sz w:val="20"/>
                <w:szCs w:val="20"/>
                <w:color w:val="auto"/>
              </w:rPr>
            </w:pPr>
            <w:r>
              <w:rPr>
                <w:rFonts w:ascii="Arial" w:cs="Arial" w:eastAsia="Arial" w:hAnsi="Arial"/>
                <w:sz w:val="18"/>
                <w:szCs w:val="18"/>
                <w:color w:val="auto"/>
                <w:w w:val="84"/>
              </w:rPr>
              <w:t>2038</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of MSI in liquid biopsy samples (related to</w:t>
            </w:r>
          </w:p>
        </w:tc>
        <w:tc>
          <w:tcPr>
            <w:tcW w:w="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bMSISEA)</w:t>
            </w:r>
          </w:p>
        </w:tc>
        <w:tc>
          <w:tcPr>
            <w:tcW w:w="1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right="80"/>
        <w:spacing w:after="0" w:line="342" w:lineRule="auto"/>
        <w:rPr>
          <w:sz w:val="20"/>
          <w:szCs w:val="20"/>
          <w:color w:val="auto"/>
        </w:rPr>
      </w:pPr>
      <w:r>
        <w:rPr>
          <w:rFonts w:ascii="Arial" w:cs="Arial" w:eastAsia="Arial" w:hAnsi="Arial"/>
          <w:sz w:val="16"/>
          <w:szCs w:val="16"/>
          <w:color w:val="auto"/>
        </w:rPr>
        <w:t>A automation method of the management and reporting of quality control of laboratory processes</w:t>
      </w:r>
    </w:p>
    <w:p>
      <w:pPr>
        <w:spacing w:after="0" w:line="1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 NGS-based method to simultaneously detect MSI and genomic mutations in liquid biopsy samples (bMSISEA)</w:t>
      </w:r>
    </w:p>
    <w:p>
      <w:pPr>
        <w:spacing w:after="0" w:line="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 NGS-based method to simultaneously detect MSI and genomic mutations in tissue samples (prettyMSI)</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Our laboratory information management</w:t>
            </w:r>
          </w:p>
        </w:tc>
        <w:tc>
          <w:tcPr>
            <w:tcW w:w="1240" w:type="dxa"/>
            <w:vAlign w:val="bottom"/>
          </w:tcPr>
          <w:p>
            <w:pPr>
              <w:ind w:left="100"/>
              <w:spacing w:after="0"/>
              <w:rPr>
                <w:sz w:val="20"/>
                <w:szCs w:val="20"/>
                <w:color w:val="auto"/>
              </w:rPr>
            </w:pPr>
            <w:r>
              <w:rPr>
                <w:rFonts w:ascii="Arial" w:cs="Arial" w:eastAsia="Arial" w:hAnsi="Arial"/>
                <w:sz w:val="18"/>
                <w:szCs w:val="18"/>
                <w:color w:val="auto"/>
              </w:rPr>
              <w:t>China</w:t>
            </w:r>
          </w:p>
        </w:tc>
        <w:tc>
          <w:tcPr>
            <w:tcW w:w="1080" w:type="dxa"/>
            <w:vAlign w:val="bottom"/>
          </w:tcPr>
          <w:p>
            <w:pPr>
              <w:jc w:val="right"/>
              <w:spacing w:after="0"/>
              <w:rPr>
                <w:sz w:val="20"/>
                <w:szCs w:val="20"/>
                <w:color w:val="auto"/>
              </w:rPr>
            </w:pPr>
            <w:r>
              <w:rPr>
                <w:rFonts w:ascii="Arial" w:cs="Arial" w:eastAsia="Arial" w:hAnsi="Arial"/>
                <w:sz w:val="18"/>
                <w:szCs w:val="18"/>
                <w:color w:val="auto"/>
              </w:rPr>
              <w:t>2035</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system</w:t>
            </w: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0"/>
        </w:trPr>
        <w:tc>
          <w:tcPr>
            <w:tcW w:w="3420" w:type="dxa"/>
            <w:vAlign w:val="bottom"/>
          </w:tcPr>
          <w:p>
            <w:pPr>
              <w:spacing w:after="0"/>
              <w:rPr>
                <w:sz w:val="20"/>
                <w:szCs w:val="20"/>
                <w:color w:val="auto"/>
              </w:rPr>
            </w:pPr>
            <w:r>
              <w:rPr>
                <w:rFonts w:ascii="Arial" w:cs="Arial" w:eastAsia="Arial" w:hAnsi="Arial"/>
                <w:sz w:val="18"/>
                <w:szCs w:val="18"/>
                <w:color w:val="auto"/>
                <w:w w:val="93"/>
              </w:rPr>
              <w:t>Our cancer therapy selection tests that detect</w:t>
            </w:r>
          </w:p>
        </w:tc>
        <w:tc>
          <w:tcPr>
            <w:tcW w:w="1240" w:type="dxa"/>
            <w:vAlign w:val="bottom"/>
          </w:tcPr>
          <w:p>
            <w:pPr>
              <w:ind w:left="100"/>
              <w:spacing w:after="0"/>
              <w:rPr>
                <w:sz w:val="20"/>
                <w:szCs w:val="20"/>
                <w:color w:val="auto"/>
              </w:rPr>
            </w:pPr>
            <w:r>
              <w:rPr>
                <w:rFonts w:ascii="Arial" w:cs="Arial" w:eastAsia="Arial" w:hAnsi="Arial"/>
                <w:sz w:val="18"/>
                <w:szCs w:val="18"/>
                <w:color w:val="auto"/>
              </w:rPr>
              <w:t>China</w:t>
            </w:r>
          </w:p>
        </w:tc>
        <w:tc>
          <w:tcPr>
            <w:tcW w:w="1080" w:type="dxa"/>
            <w:vAlign w:val="bottom"/>
          </w:tcPr>
          <w:p>
            <w:pPr>
              <w:jc w:val="right"/>
              <w:spacing w:after="0"/>
              <w:rPr>
                <w:sz w:val="20"/>
                <w:szCs w:val="20"/>
                <w:color w:val="auto"/>
              </w:rPr>
            </w:pPr>
            <w:r>
              <w:rPr>
                <w:rFonts w:ascii="Arial" w:cs="Arial" w:eastAsia="Arial" w:hAnsi="Arial"/>
                <w:sz w:val="18"/>
                <w:szCs w:val="18"/>
                <w:color w:val="auto"/>
              </w:rPr>
              <w:t>2038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MSI in liquid biopsy samples, such as</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ColonCore</w:t>
            </w: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0"/>
        </w:trPr>
        <w:tc>
          <w:tcPr>
            <w:tcW w:w="3420" w:type="dxa"/>
            <w:vAlign w:val="bottom"/>
          </w:tcPr>
          <w:p>
            <w:pPr>
              <w:spacing w:after="0"/>
              <w:rPr>
                <w:sz w:val="20"/>
                <w:szCs w:val="20"/>
                <w:color w:val="auto"/>
              </w:rPr>
            </w:pPr>
            <w:r>
              <w:rPr>
                <w:rFonts w:ascii="Arial" w:cs="Arial" w:eastAsia="Arial" w:hAnsi="Arial"/>
                <w:sz w:val="18"/>
                <w:szCs w:val="18"/>
                <w:color w:val="auto"/>
                <w:w w:val="93"/>
              </w:rPr>
              <w:t>Our cancer therapy selection tests that detect</w:t>
            </w:r>
          </w:p>
        </w:tc>
        <w:tc>
          <w:tcPr>
            <w:tcW w:w="1240" w:type="dxa"/>
            <w:vAlign w:val="bottom"/>
          </w:tcPr>
          <w:p>
            <w:pPr>
              <w:ind w:left="100"/>
              <w:spacing w:after="0"/>
              <w:rPr>
                <w:sz w:val="20"/>
                <w:szCs w:val="20"/>
                <w:color w:val="auto"/>
              </w:rPr>
            </w:pPr>
            <w:r>
              <w:rPr>
                <w:rFonts w:ascii="Arial" w:cs="Arial" w:eastAsia="Arial" w:hAnsi="Arial"/>
                <w:sz w:val="18"/>
                <w:szCs w:val="18"/>
                <w:color w:val="auto"/>
              </w:rPr>
              <w:t>China</w:t>
            </w:r>
          </w:p>
        </w:tc>
        <w:tc>
          <w:tcPr>
            <w:tcW w:w="1080" w:type="dxa"/>
            <w:vAlign w:val="bottom"/>
          </w:tcPr>
          <w:p>
            <w:pPr>
              <w:jc w:val="right"/>
              <w:spacing w:after="0"/>
              <w:rPr>
                <w:sz w:val="20"/>
                <w:szCs w:val="20"/>
                <w:color w:val="auto"/>
              </w:rPr>
            </w:pPr>
            <w:r>
              <w:rPr>
                <w:rFonts w:ascii="Arial" w:cs="Arial" w:eastAsia="Arial" w:hAnsi="Arial"/>
                <w:sz w:val="18"/>
                <w:szCs w:val="18"/>
                <w:color w:val="auto"/>
              </w:rPr>
              <w:t>2037</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w w:val="90"/>
              </w:rPr>
              <w:t>MSI in tissue samples, such as OncoScreen</w:t>
            </w:r>
            <w:r>
              <w:rPr>
                <w:rFonts w:ascii="Arial" w:cs="Arial" w:eastAsia="Arial" w:hAnsi="Arial"/>
                <w:sz w:val="15"/>
                <w:szCs w:val="15"/>
                <w:color w:val="auto"/>
                <w:w w:val="90"/>
              </w:rPr>
              <w:t>TM</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IO</w:t>
            </w: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3420" w:type="dxa"/>
            <w:vAlign w:val="bottom"/>
          </w:tcPr>
          <w:p>
            <w:pPr>
              <w:ind w:left="1540"/>
              <w:spacing w:after="0"/>
              <w:rPr>
                <w:sz w:val="20"/>
                <w:szCs w:val="20"/>
                <w:color w:val="auto"/>
              </w:rPr>
            </w:pPr>
            <w:r>
              <w:rPr>
                <w:rFonts w:ascii="Arial" w:cs="Arial" w:eastAsia="Arial" w:hAnsi="Arial"/>
                <w:sz w:val="18"/>
                <w:szCs w:val="18"/>
                <w:color w:val="auto"/>
              </w:rPr>
              <w:t>59</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2">
            <w:col w:w="3860" w:space="140"/>
            <w:col w:w="7140"/>
          </w:cols>
          <w:pgMar w:left="320" w:top="459" w:right="4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sets forth details of our key pending patent applications:</w:t>
      </w:r>
    </w:p>
    <w:p>
      <w:pPr>
        <w:sectPr>
          <w:pgSz w:w="11900" w:h="16838" w:orient="portrait"/>
          <w:cols w:equalWidth="0" w:num="1">
            <w:col w:w="11140"/>
          </w:cols>
          <w:pgMar w:left="320" w:top="459" w:right="439" w:bottom="1440" w:gutter="0" w:footer="0" w:header="0"/>
        </w:sect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Description of patent application</w:t>
      </w:r>
    </w:p>
    <w:p>
      <w:pPr>
        <w:spacing w:after="0" w:line="25" w:lineRule="exact"/>
        <w:rPr>
          <w:sz w:val="20"/>
          <w:szCs w:val="20"/>
          <w:color w:val="auto"/>
        </w:rPr>
      </w:pPr>
    </w:p>
    <w:p>
      <w:pPr>
        <w:ind w:left="120"/>
        <w:spacing w:after="0" w:line="276" w:lineRule="auto"/>
        <w:rPr>
          <w:sz w:val="20"/>
          <w:szCs w:val="20"/>
          <w:color w:val="auto"/>
        </w:rPr>
      </w:pPr>
      <w:r>
        <w:rPr>
          <w:rFonts w:ascii="Arial" w:cs="Arial" w:eastAsia="Arial" w:hAnsi="Arial"/>
          <w:sz w:val="17"/>
          <w:szCs w:val="17"/>
          <w:color w:val="auto"/>
        </w:rPr>
        <w:t>A NGS-based method to simultaneously detect MSI and genomic mutations in liquid biopsy samples (bMSISEA)</w:t>
      </w:r>
    </w:p>
    <w:p>
      <w:pPr>
        <w:spacing w:after="0" w:line="7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 NGS-based method to simultaneously detect MSI and genomic mutations in tissue samples (prettyMSI)</w:t>
      </w:r>
    </w:p>
    <w:p>
      <w:pPr>
        <w:spacing w:after="0" w:line="57"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Compositions and methods for preparing nucleic acid libraries (brELSA</w:t>
      </w:r>
      <w:r>
        <w:rPr>
          <w:rFonts w:ascii="Arial" w:cs="Arial" w:eastAsia="Arial" w:hAnsi="Arial"/>
          <w:sz w:val="13"/>
          <w:szCs w:val="13"/>
          <w:color w:val="auto"/>
        </w:rPr>
        <w: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447675</wp:posOffset>
            </wp:positionV>
            <wp:extent cx="7715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jc w:val="center"/>
        <w:ind w:left="-219"/>
        <w:spacing w:after="0"/>
        <w:rPr>
          <w:sz w:val="20"/>
          <w:szCs w:val="20"/>
          <w:color w:val="auto"/>
        </w:rPr>
      </w:pPr>
      <w:r>
        <w:rPr>
          <w:rFonts w:ascii="Arial" w:cs="Arial" w:eastAsia="Arial" w:hAnsi="Arial"/>
          <w:sz w:val="14"/>
          <w:szCs w:val="14"/>
          <w:b w:val="1"/>
          <w:bCs w:val="1"/>
          <w:color w:val="auto"/>
        </w:rPr>
        <w:t>Use and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18859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cancer therapy selection tests that detect MSI in liquid biopsy samples, such as ColonCore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cancer therapy selection tests that detect MSI in tissue samples, such as OncoScreen</w:t>
      </w:r>
      <w:r>
        <w:rPr>
          <w:rFonts w:ascii="Arial" w:cs="Arial" w:eastAsia="Arial" w:hAnsi="Arial"/>
          <w:sz w:val="15"/>
          <w:szCs w:val="15"/>
          <w:color w:val="auto"/>
        </w:rPr>
        <w:t>TM</w:t>
      </w:r>
      <w:r>
        <w:rPr>
          <w:rFonts w:ascii="Arial" w:cs="Arial" w:eastAsia="Arial" w:hAnsi="Arial"/>
          <w:sz w:val="18"/>
          <w:szCs w:val="18"/>
          <w:color w:val="auto"/>
        </w:rPr>
        <w:t xml:space="preserve"> IO</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targeted DNA-methylation based library preparation method for early cancer detection</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Jurisdiction</w:t>
            </w:r>
          </w:p>
        </w:tc>
        <w:tc>
          <w:tcPr>
            <w:tcW w:w="1540" w:type="dxa"/>
            <w:vAlign w:val="bottom"/>
          </w:tcPr>
          <w:p>
            <w:pPr>
              <w:jc w:val="right"/>
              <w:ind w:right="417"/>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85"/>
        </w:trPr>
        <w:tc>
          <w:tcPr>
            <w:tcW w:w="3080" w:type="dxa"/>
            <w:vAlign w:val="bottom"/>
            <w:gridSpan w:val="2"/>
            <w:vMerge w:val="continue"/>
          </w:tcPr>
          <w:p>
            <w:pPr>
              <w:spacing w:after="0"/>
              <w:rPr>
                <w:sz w:val="16"/>
                <w:szCs w:val="16"/>
                <w:color w:val="auto"/>
              </w:rPr>
            </w:pPr>
          </w:p>
        </w:tc>
        <w:tc>
          <w:tcPr>
            <w:tcW w:w="1540" w:type="dxa"/>
            <w:vAlign w:val="bottom"/>
          </w:tcPr>
          <w:p>
            <w:pPr>
              <w:jc w:val="right"/>
              <w:ind w:right="237"/>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24"/>
        </w:trPr>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Hong Kong, PCT</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540" w:type="dxa"/>
            <w:vAlign w:val="bottom"/>
            <w:tcBorders>
              <w:top w:val="single" w:sz="8" w:color="auto"/>
            </w:tcBorders>
          </w:tcPr>
          <w:p>
            <w:pPr>
              <w:jc w:val="right"/>
              <w:ind w:right="1097"/>
              <w:spacing w:after="0"/>
              <w:rPr>
                <w:sz w:val="20"/>
                <w:szCs w:val="20"/>
                <w:color w:val="auto"/>
              </w:rPr>
            </w:pPr>
            <w:r>
              <w:rPr>
                <w:rFonts w:ascii="Arial" w:cs="Arial" w:eastAsia="Arial" w:hAnsi="Arial"/>
                <w:sz w:val="18"/>
                <w:szCs w:val="18"/>
                <w:color w:val="auto"/>
                <w:w w:val="84"/>
              </w:rPr>
              <w:t>2039</w:t>
            </w:r>
          </w:p>
        </w:tc>
        <w:tc>
          <w:tcPr>
            <w:tcW w:w="0" w:type="dxa"/>
            <w:vAlign w:val="bottom"/>
          </w:tcPr>
          <w:p>
            <w:pPr>
              <w:spacing w:after="0"/>
              <w:rPr>
                <w:sz w:val="1"/>
                <w:szCs w:val="1"/>
                <w:color w:val="auto"/>
              </w:rPr>
            </w:pPr>
          </w:p>
        </w:tc>
      </w:tr>
      <w:tr>
        <w:trPr>
          <w:trHeight w:val="727"/>
        </w:trPr>
        <w:tc>
          <w:tcPr>
            <w:tcW w:w="3080" w:type="dxa"/>
            <w:vAlign w:val="bottom"/>
            <w:gridSpan w:val="2"/>
          </w:tcPr>
          <w:p>
            <w:pPr>
              <w:spacing w:after="0"/>
              <w:rPr>
                <w:sz w:val="20"/>
                <w:szCs w:val="20"/>
                <w:color w:val="auto"/>
              </w:rPr>
            </w:pPr>
            <w:r>
              <w:rPr>
                <w:rFonts w:ascii="Arial" w:cs="Arial" w:eastAsia="Arial" w:hAnsi="Arial"/>
                <w:sz w:val="18"/>
                <w:szCs w:val="18"/>
                <w:color w:val="auto"/>
              </w:rPr>
              <w:t>Hong Kong, PCT (currently under</w:t>
            </w:r>
          </w:p>
        </w:tc>
        <w:tc>
          <w:tcPr>
            <w:tcW w:w="1540" w:type="dxa"/>
            <w:vAlign w:val="bottom"/>
          </w:tcPr>
          <w:p>
            <w:pPr>
              <w:jc w:val="right"/>
              <w:ind w:right="1097"/>
              <w:spacing w:after="0"/>
              <w:rPr>
                <w:sz w:val="20"/>
                <w:szCs w:val="20"/>
                <w:color w:val="auto"/>
              </w:rPr>
            </w:pPr>
            <w:r>
              <w:rPr>
                <w:rFonts w:ascii="Arial" w:cs="Arial" w:eastAsia="Arial" w:hAnsi="Arial"/>
                <w:sz w:val="18"/>
                <w:szCs w:val="18"/>
                <w:color w:val="auto"/>
                <w:w w:val="84"/>
              </w:rPr>
              <w:t>2038</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review by patent offices in Japan, the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U.S. and the European Patent Office)</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80" w:type="dxa"/>
            <w:vAlign w:val="bottom"/>
            <w:gridSpan w:val="2"/>
          </w:tcPr>
          <w:p>
            <w:pPr>
              <w:spacing w:after="0"/>
              <w:rPr>
                <w:sz w:val="20"/>
                <w:szCs w:val="20"/>
                <w:color w:val="auto"/>
              </w:rPr>
            </w:pPr>
            <w:r>
              <w:rPr>
                <w:rFonts w:ascii="Arial" w:cs="Arial" w:eastAsia="Arial" w:hAnsi="Arial"/>
                <w:sz w:val="18"/>
                <w:szCs w:val="18"/>
                <w:color w:val="auto"/>
              </w:rPr>
              <w:t>PCT (currently under review by the</w:t>
            </w:r>
          </w:p>
        </w:tc>
        <w:tc>
          <w:tcPr>
            <w:tcW w:w="1540" w:type="dxa"/>
            <w:vAlign w:val="bottom"/>
          </w:tcPr>
          <w:p>
            <w:pPr>
              <w:jc w:val="right"/>
              <w:ind w:right="1097"/>
              <w:spacing w:after="0"/>
              <w:rPr>
                <w:sz w:val="20"/>
                <w:szCs w:val="20"/>
                <w:color w:val="auto"/>
              </w:rPr>
            </w:pPr>
            <w:r>
              <w:rPr>
                <w:rFonts w:ascii="Arial" w:cs="Arial" w:eastAsia="Arial" w:hAnsi="Arial"/>
                <w:sz w:val="18"/>
                <w:szCs w:val="18"/>
                <w:color w:val="auto"/>
                <w:w w:val="84"/>
              </w:rPr>
              <w:t>2039</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patent office in China, Hong Kong,</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Japan, Canada, Brazil, Australia,</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Singapore and the European Patent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Office)</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3">
            <w:col w:w="3280" w:space="160"/>
            <w:col w:w="2740" w:space="340"/>
            <w:col w:w="4620"/>
          </w:cols>
          <w:pgMar w:left="320" w:top="459" w:right="439" w:bottom="1440" w:gutter="0" w:footer="0" w:header="0"/>
          <w:type w:val="continuous"/>
        </w:sectPr>
      </w:pPr>
    </w:p>
    <w:p>
      <w:pPr>
        <w:ind w:left="540" w:hanging="424"/>
        <w:spacing w:after="0"/>
        <w:tabs>
          <w:tab w:leader="none" w:pos="540" w:val="left"/>
        </w:tabs>
        <w:numPr>
          <w:ilvl w:val="0"/>
          <w:numId w:val="29"/>
        </w:numPr>
        <w:rPr>
          <w:rFonts w:ascii="Arial" w:cs="Arial" w:eastAsia="Arial" w:hAnsi="Arial"/>
          <w:sz w:val="15"/>
          <w:szCs w:val="15"/>
          <w:color w:val="auto"/>
        </w:rPr>
      </w:pPr>
      <w:r>
        <w:rPr>
          <w:rFonts w:ascii="Arial" w:cs="Arial" w:eastAsia="Arial" w:hAnsi="Arial"/>
          <w:sz w:val="18"/>
          <w:szCs w:val="18"/>
          <w:color w:val="auto"/>
        </w:rPr>
        <w:t>An international patent application has been filed under the PCT.</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As of December 31, 2020, we have also registered four software copyrights related to our laboratory process quality control management, report automation, and sequencing result analysis.</w:t>
      </w:r>
    </w:p>
    <w:p>
      <w:pPr>
        <w:spacing w:after="0" w:line="185" w:lineRule="exact"/>
        <w:rPr>
          <w:sz w:val="20"/>
          <w:szCs w:val="20"/>
          <w:color w:val="auto"/>
        </w:rPr>
      </w:pPr>
    </w:p>
    <w:p>
      <w:pPr>
        <w:ind w:left="120" w:right="340" w:firstLine="440"/>
        <w:spacing w:after="0" w:line="292" w:lineRule="auto"/>
        <w:rPr>
          <w:sz w:val="20"/>
          <w:szCs w:val="20"/>
          <w:color w:val="auto"/>
        </w:rPr>
      </w:pPr>
      <w:r>
        <w:rPr>
          <w:rFonts w:ascii="Arial" w:cs="Arial" w:eastAsia="Arial" w:hAnsi="Arial"/>
          <w:sz w:val="17"/>
          <w:szCs w:val="17"/>
          <w:color w:val="auto"/>
        </w:rPr>
        <w:t xml:space="preserve">As of December 31, 2020, we had registered 242 trademarks, including “ </w:t>
      </w:r>
      <w:r>
        <w:rPr>
          <w:sz w:val="1"/>
          <w:szCs w:val="1"/>
          <w:color w:val="auto"/>
        </w:rPr>
        <w:drawing>
          <wp:inline distT="0" distB="0" distL="0" distR="0">
            <wp:extent cx="368300" cy="9398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8300" cy="93980"/>
                    </a:xfrm>
                    <a:prstGeom prst="rect">
                      <a:avLst/>
                    </a:prstGeom>
                    <a:noFill/>
                    <a:ln>
                      <a:noFill/>
                    </a:ln>
                  </pic:spPr>
                </pic:pic>
              </a:graphicData>
            </a:graphic>
          </wp:inline>
        </w:drawing>
      </w:r>
      <w:r>
        <w:rPr>
          <w:rFonts w:ascii="Arial" w:cs="Arial" w:eastAsia="Arial" w:hAnsi="Arial"/>
          <w:sz w:val="17"/>
          <w:szCs w:val="17"/>
          <w:color w:val="auto"/>
        </w:rPr>
        <w:t xml:space="preserve"> ”, “BURNING ROCK DX”, “ </w:t>
      </w:r>
      <w:r>
        <w:rPr>
          <w:sz w:val="1"/>
          <w:szCs w:val="1"/>
          <w:color w:val="auto"/>
        </w:rPr>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17"/>
          <w:szCs w:val="17"/>
          <w:color w:val="auto"/>
        </w:rPr>
        <w:t xml:space="preserve"> ” and product and service names, and 47 trademark applications pending in China. We also own four registered domain names, including our official website.</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We are China’s number one NGS-based cancer therapy selection company. China’s cancer genotyping industry is highly competitive. Our major competitors include domestic NGS-based cancer therapy selection companies, such as AmoyDx, BGI and Geneseeq. Our competitors may have more expertise, experience and financial resources, stronger business relationships in developing and commercializing their products and services, more mature technologies, greater market adoption among physicians, patients and others in the medical community, broader test menus, or greater brand recognition than we do. We also cannot assure you that our technologies will not become obsolete if we cannot keep pace with the constantly changing technologies in the industry.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are subject to a variety of PRC laws, rules and regulations affecting many aspects of our business. This section summarizes the principal PRC laws, rules and regulations that we believe are relevant to our business and operations.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on Foreign Investment</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Investment in China by foreign investors are regulated by the Catalog of Industries for Encouraging Foreign Investment, as promulgated by the MOFCOM and the NDRC on June 30, 2019, and the Special Administrative Measures for Access of Foreign Investment (2020 Edition), or the Negative List, as promulgated on June 23, 2020. Industries not listed in the Negative List are generally permitted and open to foreign investment, unless specifically prohibited or restricted by the PRC laws and regulations. According to the Negative List, foreign investors are permitted to access to the medical device industry, whereas foreign investors are prohibited from investing in businesses involving the development and application of genomic diagnosis and treatment technology.</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a foreign-invested enterprise in the PRC is required to comply with other regulations on its incorporation, operation and changes. On March 15, 2019, the National People’s Congress adopted the Foreign Investment Law of the PRC, which became effective on January 1, 2020. Pursuant to the Foreign Investment Law of the PRC, China will grant national treatment to foreign invested entities, except for those foreign invested entities that operate in industries that fall within “restricted” or “prohibited” categories as prescribed in the Negative List to be released or approved by the State Council.</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December 26, 2019, the State Council promulgated the Implementation Rules to the Foreign Investment Law, which became effective on January 1, 2020. The implementation rules further clarify that the state encourages and promotes foreign investment, protects the lawful rights and interests of foreign investors, regulates foreign investment administration, continues to optimize foreign investment environment, and advances a higher-level opening. On December 30, 2019, the MOFCOM and SAMR jointly promulgated the Measures for Information Reporting on Foreign Investment, which became effective on January 1, 2020. Pursuant to the Measures for Information Reporting on Foreign Investment, where a foreign investor carries out investment activities in China directly or indirectly, the foreign investor or the foreign-invested enterprise shall submit the investment information to the competent commerce department.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on Human Genetic Resources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 on the Management of Human Genetic Resources</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Regulation on the Management of Human Genetic Resources, as promulgated by the State Council on June 10, 2019 and effective on July 1, 2019, regulates the collection, preservation, usage and external provision of China’s human genetic resources. According to this regulation, “human genetic resource” includes human genetic resource materials and information. Human genetic resource materials refer to organs, tissues, cells and other genetic materials containing human genome, genes and other genetic materials. Human genetic resource information refers to information, such as data, generated by human genetic resources materials. The Administrative Department of Science and Technology under the State Council is responsible for the management of human genetic resources at the national level, and the administrative departments of science and technology under the provincial governments are responsible for the management of human genetic resources at local level and are vertically directed by the central government. Foreign entities, individuals and such entities established or actually controlled thereby are not allowed to collect or preserve China’s human genetic resources (including organs, tissues, cells and other genetic materials of human genome and gene) or provide human genetic resources abroad, while they are prohibited from using China’s human genetic resources unless they have obtained an approval from relevant PRC government authority or have filed with relevant government authority for international cooperation with a Chinese entity.</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Biosecurity Law</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On October 17, 2020, the Standing Committee of the National People’s Congress adopted the Biosecurity Law of the People’s Republic of China, or the Biosecurity Law, which will become effective on April 15, 2021. The Biosecurity Law establishes an integrated system to regulate biosecurity related activities in China, including the security regulation of HGR and biological resources. The Biosecurity Law for the first time expressly declares that China has sovereignty over its HGR, and further endorsed the Regulation on the Management of Human Genetic Resources, as promulgated by the State Council on June 10, 2019 by recognizing the fundamental regulatory principles and systems established by it over the utilization of Chinese HGR by foreign entities in China. Although the Biosecurity Law does not provide any specific new regulatory requirements for HGR, because it is a law adopted by China’s highest legislative authority, it gives China’s major regulatory authority of HGR, the Ministry of Science and Technology, significantly more power and discretion to regulate HGR, and it is expected that the overall regulatory landscape of Chinese HGR will evolve and become even more rigorous and sophisticated. Failure to comply with the requirement under the Biosecurity Law will result in the penalties, including fines, suspension of related activities and confiscation of related HGR and gains generated from conducting these activities.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on Medical Institutions and Medical Devices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jc w:val="both"/>
        <w:ind w:left="120" w:right="100" w:firstLine="440"/>
        <w:spacing w:after="0" w:line="275" w:lineRule="auto"/>
        <w:rPr>
          <w:sz w:val="20"/>
          <w:szCs w:val="20"/>
          <w:color w:val="auto"/>
        </w:rPr>
      </w:pPr>
      <w:r>
        <w:rPr>
          <w:rFonts w:ascii="Arial" w:cs="Arial" w:eastAsia="Arial" w:hAnsi="Arial"/>
          <w:sz w:val="17"/>
          <w:szCs w:val="17"/>
          <w:color w:val="auto"/>
        </w:rPr>
        <w:t>The newly formed NMPA under the State Administration for Market Regulation is the government authority that monitors and supervises the administration of pharmaceutical products, medical devices and cosmetics. The NMPA’s predecessor, the CFDA, was established in March 2013 and separated from the Ministry of Health of the PRC, or the MOH, as part of an institutional reform of the State Council. Predecessors of the NMPA also include the former State Food and Drug Administration, or the SFDA, which was established in March 2003 and the State Drug Administration, or the SDA, that was established in August 1998. The primary responsibilities of the NMPA include:</w:t>
      </w:r>
    </w:p>
    <w:p>
      <w:pPr>
        <w:spacing w:after="0" w:line="82"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monitoring and supervising the administration of pharmaceutical products, medical devices and cosmetics in the PRC;</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formulating administrative rules and policies concerning the supervision and administration of the pharmaceutical, medical device and cosmetics industry;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evaluating, registering and approving of new drugs, generic drugs, imported drugs and traditional Chinese medicine;</w:t>
      </w:r>
    </w:p>
    <w:p>
      <w:pPr>
        <w:spacing w:after="0" w:line="130"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approving and issuing permits for the manufacture and export/import of pharmaceutical products and medical devices, and approving the establishment of enterprises to be engaged in the manufacture and distribution of pharmaceutical products; and</w:t>
      </w:r>
    </w:p>
    <w:p>
      <w:pPr>
        <w:spacing w:after="0" w:line="51" w:lineRule="exact"/>
        <w:rPr>
          <w:rFonts w:ascii="Arial" w:cs="Arial" w:eastAsia="Arial" w:hAnsi="Arial"/>
          <w:sz w:val="17"/>
          <w:szCs w:val="17"/>
          <w:color w:val="auto"/>
        </w:rPr>
      </w:pPr>
    </w:p>
    <w:p>
      <w:pPr>
        <w:ind w:left="1080" w:right="5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examining and evaluating the safety of pharmaceutical products, medical devices and cosmetics and handling significant accidents involving these products.</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National Health and Family Planning Commission, or the NHFPC, has been renamed as the National Health Commission, or the NHC. The NHC is an authority at the ministerial level under the State Council and is primarily responsible for national public health. The NHC combines the responsibilities of the former NHFPC, the Leading Group Overseeing Medical and Healthcare Reform under the State Council, the China National Working Commission on Aging, partial responsibilities of the Ministry of Industry and Information Technology in relation to tobacco control, and partial responsibilities from the State Administration of Work Safety in relation to occupational safety. The predecessor of NHFPC is the MOH. Following the establishment of the SFDA in 2003, the MOH was put in charge of the overall administration of national health in the PRC excluding the pharmaceutical industry.</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Medical Institutions Laws and Regulations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Regulation on the Administration of Medical Institutions as promulgated by the State Council in 1994 and revised in 2016 provides the requirements for the establishment and administration of medical institutions. The establishment of medical institutions must comply with local governments’ plans for the establishment of medical institutions and the basic standards for medical institutions. To establish a medical institution, an entity or individual will be subject to the examination and approval of the health administrative department of the local government at or above the county level. A medical institution providing medical services must register and obtain a Medical Institution Practice License. An entity or individual that has not obtained a Medical Institution Practice License may not carry out diagnosis or treatment activities. The revised Rules for Implementation of the Administrative Regulation on Medical Institutions, as promulgated by the NHFPC in February 2017, further regulates the approval on the establishment, registration, validation and practice of medical institutions.</w:t>
      </w:r>
    </w:p>
    <w:p>
      <w:pPr>
        <w:spacing w:after="0" w:line="17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Guangzhou Burning Rock Dx Co., Ltd., a subsidiary of our VIE, obtained a Medical Institution Practice License in September 2017, with a five-year validity from March 2015 to March 2020. This license was renewed in February 2020, and the renewed license has a five-year validity until February 2025.</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Measures for the Administration of Clinical Testing Laboratories in Medical Institutions, which was promulgated by the MOH in February 2006 and became effective in June 2006, provides regulations on the examination, establishment, quality management and safety practice of clinical testing laboratories in medical institutions.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60"/>
          </w:cols>
          <w:pgMar w:left="320" w:top="459"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Measures for the Administration of Clinical Gene Amplification Testing Laboratories in Medical Institutions, as promulgated by the MOH in December 2010, provides the requirements for medical institutions to carry out clinical gene amplification test techniques. A clinical gene amplification testing laboratory refers to a laboratory that detects specific DNA or RNA by amplification to perform disease diagnosis, treatment monitoring and prognosis determination. The MOH is responsible for supervising and administering clinical gene amplification testing laboratories in medical institutions nationwide. The health administrative authorities at the provincial level are responsible for supervising and administering clinical gene amplification testing laboratories in medical institutions within their respective administrative regions. This regulation also provides the examination and establishment of clinical gene amplification testing laboratories, laboratory quality management and laboratory supervision and management.</w:t>
      </w:r>
    </w:p>
    <w:p>
      <w:pPr>
        <w:spacing w:after="0" w:line="166"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Notice for the Basic Standards for Clinical Testing Laboratories (for Trial Implementation), as promulgated by the NHFPC in July 2016, further provides the standards and requirements for clinical testing laboratories.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Notice for the Further Administration of Clinical Gene Amplification Testing Laboratories in Medical Institutions as promulgated by the Guangdong Health Department in September 2012 provides that medical institutions carrying out clinical gene amplification test techniques must apply for technical access from the Guangdong Health Department, and the Guangdong Clinical Laboratory Center is authorized as the technical auditing institution of clinical gene amplification testing technology.</w:t>
      </w:r>
    </w:p>
    <w:p>
      <w:pPr>
        <w:spacing w:after="0" w:line="187" w:lineRule="exact"/>
        <w:rPr>
          <w:sz w:val="20"/>
          <w:szCs w:val="20"/>
          <w:color w:val="auto"/>
        </w:rPr>
      </w:pPr>
    </w:p>
    <w:p>
      <w:pPr>
        <w:jc w:val="both"/>
        <w:ind w:left="120" w:right="780" w:firstLine="440"/>
        <w:spacing w:after="0" w:line="286" w:lineRule="auto"/>
        <w:rPr>
          <w:sz w:val="20"/>
          <w:szCs w:val="20"/>
          <w:color w:val="auto"/>
        </w:rPr>
      </w:pPr>
      <w:r>
        <w:rPr>
          <w:rFonts w:ascii="Arial" w:cs="Arial" w:eastAsia="Arial" w:hAnsi="Arial"/>
          <w:sz w:val="17"/>
          <w:szCs w:val="17"/>
          <w:color w:val="auto"/>
        </w:rPr>
        <w:t>The Notice for the Further Administration of Department Office and Medical Technology in Clinical Institutions, as promulgated by the Guangdong Health Department in May 2016, further provides for the management of medical technology. Clinical gene amplification testing technology, as a limited medical technology, is subject to the examination and approval of the Guangdong Health Department.</w:t>
      </w:r>
    </w:p>
    <w:p>
      <w:pPr>
        <w:spacing w:after="0" w:line="165"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Guangzhou Burning Rock Dx Co., Ltd., a subsidiary of our VIE, obtained its Certificate of Clinical Gene Amplification Testing Laboratory in August 2015, with a five-year validity from August 2015 to August 2020. As of the date of this annual report, we are in the process of renewing such certificate, which is taking longer than expected due to the COVID-19 pandemic. Guangzhou Burning Rock Dx Co., Ltd. obtained its Certificate of High Throughput Sequencing Testing Laboratory in May 2018, with a five-year validity from May 2018 to May 2023.</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Medical Devices Administration Laws and Regulations</w:t>
      </w:r>
    </w:p>
    <w:p>
      <w:pPr>
        <w:spacing w:after="0" w:line="117" w:lineRule="exact"/>
        <w:rPr>
          <w:sz w:val="20"/>
          <w:szCs w:val="20"/>
          <w:color w:val="auto"/>
        </w:rPr>
      </w:pPr>
    </w:p>
    <w:p>
      <w:pPr>
        <w:jc w:val="both"/>
        <w:ind w:left="120" w:right="580" w:firstLine="440"/>
        <w:spacing w:after="0" w:line="311" w:lineRule="auto"/>
        <w:rPr>
          <w:sz w:val="20"/>
          <w:szCs w:val="20"/>
          <w:color w:val="auto"/>
        </w:rPr>
      </w:pPr>
      <w:r>
        <w:rPr>
          <w:rFonts w:ascii="Arial" w:cs="Arial" w:eastAsia="Arial" w:hAnsi="Arial"/>
          <w:sz w:val="16"/>
          <w:szCs w:val="16"/>
          <w:color w:val="auto"/>
        </w:rPr>
        <w:t>According to the Notice on Strengthening the Management of Products and Technologies Related to Clinical Use of Gene Sequencing, as promulgated by the CFDA and NHFPC in February 2014, gene sequencing diagnostic products (including gene sequencer and related diagnostic reagents and software) are regulated as medical devices and must be registered pursuant to relevant regulations.</w:t>
      </w:r>
    </w:p>
    <w:p>
      <w:pPr>
        <w:spacing w:after="0" w:line="149"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Regulation on the Supervision and Administration of Medical Devices, as amended by the State Council in May 2017, regulates entities that engage in the research and development, production, operation, use, supervision and administration of medical devices in the PRC. Medical devices are classified according to their risk levels. Class I medical devices are medical devices with low risks, and the safety and effectiveness of which can be ensured through routine administration. Class II medical devices are medical devices with moderate risks, which are strictly controlled and administered to ensure their safety and effectiveness. Class III medical devices are medical devices with relatively high risks, which are strictly controlled and administered through special measures to ensure their safety and effectiveness. The evaluation of the risk levels of medical devices take into consideration the medical devices’ objectives, structural features, methods of use and other factors. Registration certificates are required for Class II and Class III medical devices. The classification of specific medical devices is stipulated in the Medical Device Classification Catalog, which was issued by the CFDA on August 31, 2017 and became executive on August 1, 2018.</w:t>
      </w:r>
    </w:p>
    <w:p>
      <w:pPr>
        <w:spacing w:after="0" w:line="181"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Administrative Measures for the Registration of Medical Devices, or the Medical Devices Registration Measures, as promulgated by the CFDA in October 2014, provide that Class I medical devices are subject to record-filing, while Class II and Class III medical devices are subject to registration. According to the Medical Devices Registration Measures, the registration and record-filing of IVD reagents that are regulated as medical devices are governed by the Administrative Measures for the Registration of IVD Reagents, which was first promulgated by the CFDA and took effect on July 30, 2014, and amended on January 25, 2017. Pursuant to the Administrative Measures for the Registration of IVD Reagents, Class I IVD reagents are subject to filing, and Class II and Class III IVD reagents are subject to inspection, approval and registration.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According to the Opinions on Deepening the Reform of the Evaluation and Approval System and Inspiring Innovation of Drugs and Medical Devices, the evaluation and approval for the application of innovative medical devices will be prioritized. In November 2018, the NMPA released the Special Review Procedures for Innovative Medical Devices, which provides that the NMPA will prioritize applications for qualified innovative medical devices. These rules specify requirements for the application of innovative medical devices, including certificates, intellectual property, process and results of product research and development and other technical documents.</w:t>
      </w:r>
    </w:p>
    <w:p>
      <w:pPr>
        <w:spacing w:after="0" w:line="18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Measures for the Supervision and Administration of the Manufacture of Medical Devices, as promulgated by the CFDA in November 2017, regulates entities that engage in the manufacturing of medical devices in the PRC. The food and drug administration authorities at or above the county level regulate medical device manufacturing within their administrative regions, including manufacturing-related licensing and registration, contract manufacturing and manufacturing quality controls. Production permits are required for the manufacture of Class II and Class III medical devices. A medical device production license is valid for five years, which may be extended upon expiration in accordance with relevant administrative provisions. Medical device manufacturers are not required to obtain a medical device operation license to sell their self-manufactured products.</w:t>
      </w:r>
    </w:p>
    <w:p>
      <w:pPr>
        <w:spacing w:after="0" w:line="164"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The Good Manufacturing Practice Rules for Medical Devices, as promulgated by the CFDA on December 29, 2014 and effective on March 1, 2015, provide basic principles for quality control systems for medical devices manufacturing, and these rules are applicable to the entire process of design and development, production, sales and post-sale services of medical devices.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Measures for the Supervision and Administration of the Business Operation of Medical Devices, as promulgated by the CFDA in November 2017, regulates entities conducting the business operation of medical devices in the PRC. Medical devices are assigned to one of three regulatory classes based on the level of control necessary to assure the safety and effectiveness of the device. Business activities involving medical devices are regulated in accordance with the classification of each of the medical devices. No registration or license is required for business activities involving Class I medical devices. Registration is required for business activities involving Class II medical devices, and licenses are required for business activities involving Class III medical devices. A medical device operation license is valid for five years, which may be extended upon expiration in accordance with relevant administrative provisions. Medical devices manufacturing enterprises engaging in the sale of self-produced products are not required to obtain a medical device operation license.</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According to the Supervision and Administration of Medical Devices, entities are prohibited from using or operating unregistered, expired, invalid or obsolete medical devices or those without a certificate of conformity.</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Notice on Strengthening the Administration of Import and Use of Pharmaceutical and Medical Devices, as promulgated by the CFDA in October 2010, medical institutions may only purchase qualified medical devices from enterprises with a medical device manufacture license or a medical device operation license.</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Guangzhou Burning Rock Dx Co., Ltd., a subsidiary of our VIE, obtained Class I medical devices record-filing certificates for our general kit for sequencing reaction, nucleic acid extraction or purification reagent, sequencing kit for gene sequencing and library kit for gene sequencing (DNA interruption linking) in May 2016, January 2017, April 2017 and December 2017, respectively. Guangzhou Burning Rock Dx Co., Ltd. also obtained a Class III medical device registration certificate for our human EGFR/ALK/BRAF/KRAS fusion gene mutation detection kit (reversible termination sequencing) and mutation gene analysis software for non-small cell lung cancer in July 2018 and August 2019, respectively.</w:t>
      </w:r>
    </w:p>
    <w:p>
      <w:pPr>
        <w:spacing w:after="0" w:line="17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Guangzhou Burning Rock Dx Co., Ltd. obtained a Class III medical device manufacture license for our human EGFR/ALK/BRAF/KRAS fusion gene mutation detection kit (reversible termination sequencing) in August 2018, with a term of five years.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Guangzhou Burning Rock Medical Devices Co., Ltd. obtained a medical device operation license for Class III medical devices in April 2016, with a term of five years.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Medical Devices Subject to Cold Chain Management</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According to the Guidelines for Cold Chain (Transport &amp; Storage) Management of Medical Devices, as promulgated by the CFDA in September 2016, medical devices subject to cold chain management, such as our reagent kits, are medical devices requiring refrigeration and frozen management in the process of transportation and storage in accordance with relevant instructions and labels. Medical device manufacturers and wholesalers must equip with cold storage, refrigerated vehicles and containers, and other facilities and equipment, which fit the variety and scale of the medical devices they produce or operate. To ensure proper temperature control during transportation, operators must choose a reasonable means of transportation, and take adequate temperature control measures based on transportation conditions, which, among others, include the quantity of medical devices subject to cold-chain management, the distance and time requirements, and the temperature requirements. Operators who engage third-party carriers must examine the carrier’s qualifications and capabilities, and enter into relevant agency agreements for transportation.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Tendering Processes for Medical Devices</w:t>
      </w:r>
    </w:p>
    <w:p>
      <w:pPr>
        <w:spacing w:after="0" w:line="117"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The Chinese government has implemented measures to encourage pooled procurement of expensive medical consumables through tendering processes. In June 2007, MOH issued the Notice on Further Strengthening the Administration of Centralized Procurement of Medical Devices, which requires that all non-profit medical institutions established by local governments, associations or state-owned enterprises participate in the centralized procurement. Public tendering will be the principal method for centralized procurement.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Policies on NGS-based Cancer Therapy Selection</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recent years, China has introduced a series of policies that support the development of NGS-based cancer therapy selection. The table below presents a selection of these policies introduced by relevant governmental authorities in China from 2014 to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540" w:type="dxa"/>
            <w:vAlign w:val="bottom"/>
            <w:gridSpan w:val="2"/>
          </w:tcPr>
          <w:p>
            <w:pPr>
              <w:ind w:left="420"/>
              <w:spacing w:after="0"/>
              <w:rPr>
                <w:sz w:val="20"/>
                <w:szCs w:val="20"/>
                <w:color w:val="auto"/>
              </w:rPr>
            </w:pPr>
            <w:r>
              <w:rPr>
                <w:rFonts w:ascii="Arial" w:cs="Arial" w:eastAsia="Arial" w:hAnsi="Arial"/>
                <w:sz w:val="14"/>
                <w:szCs w:val="14"/>
                <w:b w:val="1"/>
                <w:bCs w:val="1"/>
                <w:color w:val="auto"/>
              </w:rPr>
              <w:t>Authority</w:t>
            </w:r>
          </w:p>
        </w:tc>
        <w:tc>
          <w:tcPr>
            <w:tcW w:w="7280" w:type="dxa"/>
            <w:vAlign w:val="bottom"/>
          </w:tcPr>
          <w:p>
            <w:pPr>
              <w:ind w:left="3220"/>
              <w:spacing w:after="0"/>
              <w:rPr>
                <w:sz w:val="20"/>
                <w:szCs w:val="20"/>
                <w:color w:val="auto"/>
              </w:rPr>
            </w:pPr>
            <w:r>
              <w:rPr>
                <w:rFonts w:ascii="Arial" w:cs="Arial" w:eastAsia="Arial" w:hAnsi="Arial"/>
                <w:sz w:val="14"/>
                <w:szCs w:val="14"/>
                <w:b w:val="1"/>
                <w:bCs w:val="1"/>
                <w:color w:val="auto"/>
              </w:rPr>
              <w:t>Key messages</w:t>
            </w:r>
          </w:p>
        </w:tc>
      </w:tr>
      <w:tr>
        <w:trPr>
          <w:trHeight w:val="195"/>
        </w:trPr>
        <w:tc>
          <w:tcPr>
            <w:tcW w:w="2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February 2014</w:t>
            </w:r>
          </w:p>
        </w:tc>
        <w:tc>
          <w:tcPr>
            <w:tcW w:w="100" w:type="dxa"/>
            <w:vAlign w:val="bottom"/>
          </w:tcPr>
          <w:p>
            <w:pPr>
              <w:spacing w:after="0"/>
              <w:rPr>
                <w:sz w:val="16"/>
                <w:szCs w:val="16"/>
                <w:color w:val="auto"/>
              </w:rPr>
            </w:pPr>
          </w:p>
        </w:tc>
        <w:tc>
          <w:tcPr>
            <w:tcW w:w="14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NMPA</w:t>
            </w:r>
          </w:p>
        </w:tc>
        <w:tc>
          <w:tcPr>
            <w:tcW w:w="100" w:type="dxa"/>
            <w:vAlign w:val="bottom"/>
          </w:tcPr>
          <w:p>
            <w:pPr>
              <w:spacing w:after="0"/>
              <w:rPr>
                <w:sz w:val="16"/>
                <w:szCs w:val="16"/>
                <w:color w:val="auto"/>
              </w:rPr>
            </w:pPr>
          </w:p>
        </w:tc>
        <w:tc>
          <w:tcPr>
            <w:tcW w:w="7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 xml:space="preserve">The NMPA (former CFDA) issued a </w:t>
            </w:r>
            <w:r>
              <w:rPr>
                <w:rFonts w:ascii="Arial" w:cs="Arial" w:eastAsia="Arial" w:hAnsi="Arial"/>
                <w:sz w:val="18"/>
                <w:szCs w:val="18"/>
                <w:i w:val="1"/>
                <w:iCs w:val="1"/>
                <w:color w:val="auto"/>
                <w:w w:val="92"/>
              </w:rPr>
              <w:t>Notice on Special Approval Procedures for Innovative Medical</w:t>
            </w:r>
          </w:p>
        </w:tc>
      </w:tr>
      <w:tr>
        <w:trPr>
          <w:trHeight w:val="230"/>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i w:val="1"/>
                <w:iCs w:val="1"/>
                <w:color w:val="auto"/>
              </w:rPr>
              <w:t>Devices (Trial)</w:t>
            </w:r>
            <w:r>
              <w:rPr>
                <w:rFonts w:ascii="Arial" w:cs="Arial" w:eastAsia="Arial" w:hAnsi="Arial"/>
                <w:sz w:val="18"/>
                <w:szCs w:val="18"/>
                <w:color w:val="auto"/>
              </w:rPr>
              <w:t>, which significantly accelerated the approval process for NGS products.</w:t>
            </w:r>
          </w:p>
        </w:tc>
      </w:tr>
      <w:tr>
        <w:trPr>
          <w:trHeight w:val="310"/>
        </w:trPr>
        <w:tc>
          <w:tcPr>
            <w:tcW w:w="2200" w:type="dxa"/>
            <w:vAlign w:val="bottom"/>
            <w:gridSpan w:val="2"/>
          </w:tcPr>
          <w:p>
            <w:pPr>
              <w:spacing w:after="0"/>
              <w:rPr>
                <w:sz w:val="20"/>
                <w:szCs w:val="20"/>
                <w:color w:val="auto"/>
              </w:rPr>
            </w:pPr>
            <w:r>
              <w:rPr>
                <w:rFonts w:ascii="Arial" w:cs="Arial" w:eastAsia="Arial" w:hAnsi="Arial"/>
                <w:sz w:val="18"/>
                <w:szCs w:val="18"/>
                <w:color w:val="auto"/>
              </w:rPr>
              <w:t>March 2014</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State Council</w:t>
            </w:r>
          </w:p>
        </w:tc>
        <w:tc>
          <w:tcPr>
            <w:tcW w:w="7280" w:type="dxa"/>
            <w:vAlign w:val="bottom"/>
          </w:tcPr>
          <w:p>
            <w:pPr>
              <w:spacing w:after="0"/>
              <w:rPr>
                <w:sz w:val="20"/>
                <w:szCs w:val="20"/>
                <w:color w:val="auto"/>
              </w:rPr>
            </w:pPr>
            <w:r>
              <w:rPr>
                <w:rFonts w:ascii="Arial" w:cs="Arial" w:eastAsia="Arial" w:hAnsi="Arial"/>
                <w:sz w:val="18"/>
                <w:szCs w:val="18"/>
                <w:color w:val="auto"/>
                <w:w w:val="92"/>
              </w:rPr>
              <w:t xml:space="preserve">The State Council published </w:t>
            </w:r>
            <w:r>
              <w:rPr>
                <w:rFonts w:ascii="Arial" w:cs="Arial" w:eastAsia="Arial" w:hAnsi="Arial"/>
                <w:sz w:val="18"/>
                <w:szCs w:val="18"/>
                <w:i w:val="1"/>
                <w:iCs w:val="1"/>
                <w:color w:val="auto"/>
                <w:w w:val="92"/>
              </w:rPr>
              <w:t>Regulation on the Supervision and Administration of Medical Devices</w:t>
            </w:r>
            <w:r>
              <w:rPr>
                <w:rFonts w:ascii="Arial" w:cs="Arial" w:eastAsia="Arial" w:hAnsi="Arial"/>
                <w:sz w:val="18"/>
                <w:szCs w:val="18"/>
                <w:color w:val="auto"/>
                <w:w w:val="92"/>
              </w:rPr>
              <w:t>,</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w w:val="96"/>
              </w:rPr>
              <w:t>which provides that reagents related to human gene testing are Class III medical devices. NGS</w:t>
            </w:r>
          </w:p>
        </w:tc>
      </w:tr>
      <w:tr>
        <w:trPr>
          <w:trHeight w:val="230"/>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products are managed as medical devices.</w:t>
            </w:r>
          </w:p>
        </w:tc>
      </w:tr>
      <w:tr>
        <w:trPr>
          <w:trHeight w:val="310"/>
        </w:trPr>
        <w:tc>
          <w:tcPr>
            <w:tcW w:w="220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NHC</w:t>
            </w:r>
          </w:p>
        </w:tc>
        <w:tc>
          <w:tcPr>
            <w:tcW w:w="7280" w:type="dxa"/>
            <w:vAlign w:val="bottom"/>
          </w:tcPr>
          <w:p>
            <w:pPr>
              <w:spacing w:after="0"/>
              <w:rPr>
                <w:sz w:val="20"/>
                <w:szCs w:val="20"/>
                <w:color w:val="auto"/>
              </w:rPr>
            </w:pPr>
            <w:r>
              <w:rPr>
                <w:rFonts w:ascii="Arial" w:cs="Arial" w:eastAsia="Arial" w:hAnsi="Arial"/>
                <w:sz w:val="18"/>
                <w:szCs w:val="18"/>
                <w:color w:val="auto"/>
                <w:w w:val="98"/>
              </w:rPr>
              <w:t xml:space="preserve">The NHC published Guidelines for </w:t>
            </w:r>
            <w:r>
              <w:rPr>
                <w:rFonts w:ascii="Arial" w:cs="Arial" w:eastAsia="Arial" w:hAnsi="Arial"/>
                <w:sz w:val="18"/>
                <w:szCs w:val="18"/>
                <w:i w:val="1"/>
                <w:iCs w:val="1"/>
                <w:color w:val="auto"/>
                <w:w w:val="98"/>
              </w:rPr>
              <w:t>Personalized Medical Testing Applications of Sequencing</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i w:val="1"/>
                <w:iCs w:val="1"/>
                <w:color w:val="auto"/>
                <w:w w:val="93"/>
              </w:rPr>
              <w:t>Technology</w:t>
            </w:r>
            <w:r>
              <w:rPr>
                <w:rFonts w:ascii="Arial" w:cs="Arial" w:eastAsia="Arial" w:hAnsi="Arial"/>
                <w:sz w:val="18"/>
                <w:szCs w:val="18"/>
                <w:color w:val="auto"/>
                <w:w w:val="93"/>
              </w:rPr>
              <w:t>, which provides guidance on sample collection, transportation, receiving, processing,</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w w:val="99"/>
              </w:rPr>
              <w:t>testing and inspection of project development, verification, and validation, basic principles of</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w w:val="99"/>
              </w:rPr>
              <w:t>quality control, result reporting, and the possible problems and countermeasures, to provide</w:t>
            </w:r>
          </w:p>
        </w:tc>
      </w:tr>
      <w:tr>
        <w:trPr>
          <w:trHeight w:val="230"/>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standardized guidance on precision medicine based on sequencing technology application.</w:t>
            </w:r>
          </w:p>
        </w:tc>
      </w:tr>
      <w:tr>
        <w:trPr>
          <w:trHeight w:val="310"/>
        </w:trPr>
        <w:tc>
          <w:tcPr>
            <w:tcW w:w="2200" w:type="dxa"/>
            <w:vAlign w:val="bottom"/>
            <w:gridSpan w:val="2"/>
          </w:tcPr>
          <w:p>
            <w:pPr>
              <w:spacing w:after="0"/>
              <w:rPr>
                <w:sz w:val="20"/>
                <w:szCs w:val="20"/>
                <w:color w:val="auto"/>
              </w:rPr>
            </w:pPr>
            <w:r>
              <w:rPr>
                <w:rFonts w:ascii="Arial" w:cs="Arial" w:eastAsia="Arial" w:hAnsi="Arial"/>
                <w:sz w:val="18"/>
                <w:szCs w:val="18"/>
                <w:color w:val="auto"/>
              </w:rPr>
              <w:t>July 2015</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NHC</w:t>
            </w:r>
          </w:p>
        </w:tc>
        <w:tc>
          <w:tcPr>
            <w:tcW w:w="7280" w:type="dxa"/>
            <w:vAlign w:val="bottom"/>
          </w:tcPr>
          <w:p>
            <w:pPr>
              <w:spacing w:after="0"/>
              <w:rPr>
                <w:sz w:val="20"/>
                <w:szCs w:val="20"/>
                <w:color w:val="auto"/>
              </w:rPr>
            </w:pPr>
            <w:r>
              <w:rPr>
                <w:rFonts w:ascii="Arial" w:cs="Arial" w:eastAsia="Arial" w:hAnsi="Arial"/>
                <w:sz w:val="18"/>
                <w:szCs w:val="18"/>
                <w:color w:val="auto"/>
                <w:w w:val="99"/>
              </w:rPr>
              <w:t xml:space="preserve">The NHC published </w:t>
            </w:r>
            <w:r>
              <w:rPr>
                <w:rFonts w:ascii="Arial" w:cs="Arial" w:eastAsia="Arial" w:hAnsi="Arial"/>
                <w:sz w:val="18"/>
                <w:szCs w:val="18"/>
                <w:i w:val="1"/>
                <w:iCs w:val="1"/>
                <w:color w:val="auto"/>
                <w:w w:val="99"/>
              </w:rPr>
              <w:t>Guidelines for Individualized Treatment and Detection of Tumors</w:t>
            </w:r>
            <w:r>
              <w:rPr>
                <w:rFonts w:ascii="Arial" w:cs="Arial" w:eastAsia="Arial" w:hAnsi="Arial"/>
                <w:sz w:val="18"/>
                <w:szCs w:val="18"/>
                <w:color w:val="auto"/>
                <w:w w:val="99"/>
              </w:rPr>
              <w:t>, which</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w w:val="93"/>
              </w:rPr>
              <w:t>provides for the standardization of testing technology, laboratory access and quality assurance. It</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w w:val="98"/>
              </w:rPr>
              <w:t>includes specific requirements for clinical and medical laboratories to ensure the accuracy of</w:t>
            </w:r>
          </w:p>
        </w:tc>
      </w:tr>
      <w:tr>
        <w:trPr>
          <w:trHeight w:val="230"/>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genotyping test results.</w:t>
            </w:r>
          </w:p>
        </w:tc>
      </w:tr>
      <w:tr>
        <w:trPr>
          <w:trHeight w:val="310"/>
        </w:trPr>
        <w:tc>
          <w:tcPr>
            <w:tcW w:w="2200" w:type="dxa"/>
            <w:vAlign w:val="bottom"/>
            <w:gridSpan w:val="2"/>
          </w:tcPr>
          <w:p>
            <w:pPr>
              <w:spacing w:after="0"/>
              <w:rPr>
                <w:sz w:val="20"/>
                <w:szCs w:val="20"/>
                <w:color w:val="auto"/>
              </w:rPr>
            </w:pPr>
            <w:r>
              <w:rPr>
                <w:rFonts w:ascii="Arial" w:cs="Arial" w:eastAsia="Arial" w:hAnsi="Arial"/>
                <w:sz w:val="18"/>
                <w:szCs w:val="18"/>
                <w:color w:val="auto"/>
              </w:rPr>
              <w:t>February 2016</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NHC</w:t>
            </w:r>
          </w:p>
        </w:tc>
        <w:tc>
          <w:tcPr>
            <w:tcW w:w="7280" w:type="dxa"/>
            <w:vAlign w:val="bottom"/>
          </w:tcPr>
          <w:p>
            <w:pPr>
              <w:spacing w:after="0"/>
              <w:rPr>
                <w:sz w:val="20"/>
                <w:szCs w:val="20"/>
                <w:color w:val="auto"/>
              </w:rPr>
            </w:pPr>
            <w:r>
              <w:rPr>
                <w:rFonts w:ascii="Arial" w:cs="Arial" w:eastAsia="Arial" w:hAnsi="Arial"/>
                <w:sz w:val="18"/>
                <w:szCs w:val="18"/>
                <w:color w:val="auto"/>
                <w:w w:val="99"/>
              </w:rPr>
              <w:t xml:space="preserve">The NHC published </w:t>
            </w:r>
            <w:r>
              <w:rPr>
                <w:rFonts w:ascii="Arial" w:cs="Arial" w:eastAsia="Arial" w:hAnsi="Arial"/>
                <w:sz w:val="18"/>
                <w:szCs w:val="18"/>
                <w:i w:val="1"/>
                <w:iCs w:val="1"/>
                <w:color w:val="auto"/>
                <w:w w:val="99"/>
              </w:rPr>
              <w:t>Notice of the General Office of the National Health and Family Planning</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i w:val="1"/>
                <w:iCs w:val="1"/>
                <w:color w:val="auto"/>
                <w:w w:val="98"/>
              </w:rPr>
              <w:t>Commission on Issues Related to the Management of Clinical Testing Projects</w:t>
            </w:r>
            <w:r>
              <w:rPr>
                <w:rFonts w:ascii="Arial" w:cs="Arial" w:eastAsia="Arial" w:hAnsi="Arial"/>
                <w:sz w:val="18"/>
                <w:szCs w:val="18"/>
                <w:color w:val="auto"/>
                <w:w w:val="98"/>
              </w:rPr>
              <w:t>, which covers</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w w:val="93"/>
              </w:rPr>
              <w:t>strengthening the management of clinical inspection projects, standardizing the clinical inspection</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w w:val="97"/>
              </w:rPr>
              <w:t>work of medical institutions, meeting the needs of clinical medical treatment, and ensuring the</w:t>
            </w:r>
          </w:p>
        </w:tc>
      </w:tr>
      <w:tr>
        <w:trPr>
          <w:trHeight w:val="230"/>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quality and safety of medical treatment.</w:t>
            </w:r>
          </w:p>
        </w:tc>
      </w:tr>
      <w:tr>
        <w:trPr>
          <w:trHeight w:val="310"/>
        </w:trPr>
        <w:tc>
          <w:tcPr>
            <w:tcW w:w="2200" w:type="dxa"/>
            <w:vAlign w:val="bottom"/>
            <w:gridSpan w:val="2"/>
          </w:tcPr>
          <w:p>
            <w:pPr>
              <w:spacing w:after="0"/>
              <w:rPr>
                <w:sz w:val="20"/>
                <w:szCs w:val="20"/>
                <w:color w:val="auto"/>
              </w:rPr>
            </w:pPr>
            <w:r>
              <w:rPr>
                <w:rFonts w:ascii="Arial" w:cs="Arial" w:eastAsia="Arial" w:hAnsi="Arial"/>
                <w:sz w:val="18"/>
                <w:szCs w:val="18"/>
                <w:color w:val="auto"/>
              </w:rPr>
              <w:t>May 2017</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State Council</w:t>
            </w:r>
          </w:p>
        </w:tc>
        <w:tc>
          <w:tcPr>
            <w:tcW w:w="7280" w:type="dxa"/>
            <w:vAlign w:val="bottom"/>
          </w:tcPr>
          <w:p>
            <w:pPr>
              <w:spacing w:after="0"/>
              <w:rPr>
                <w:sz w:val="20"/>
                <w:szCs w:val="20"/>
                <w:color w:val="auto"/>
              </w:rPr>
            </w:pPr>
            <w:r>
              <w:rPr>
                <w:rFonts w:ascii="Arial" w:cs="Arial" w:eastAsia="Arial" w:hAnsi="Arial"/>
                <w:sz w:val="18"/>
                <w:szCs w:val="18"/>
                <w:color w:val="auto"/>
                <w:w w:val="91"/>
              </w:rPr>
              <w:t xml:space="preserve">The State Council published Amendments to the </w:t>
            </w:r>
            <w:r>
              <w:rPr>
                <w:rFonts w:ascii="Arial" w:cs="Arial" w:eastAsia="Arial" w:hAnsi="Arial"/>
                <w:sz w:val="18"/>
                <w:szCs w:val="18"/>
                <w:i w:val="1"/>
                <w:iCs w:val="1"/>
                <w:color w:val="auto"/>
                <w:w w:val="91"/>
              </w:rPr>
              <w:t>Regulations on the Supervision and Administration</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i w:val="1"/>
                <w:iCs w:val="1"/>
                <w:color w:val="auto"/>
                <w:w w:val="97"/>
              </w:rPr>
              <w:t>of Medical Devices</w:t>
            </w:r>
            <w:r>
              <w:rPr>
                <w:rFonts w:ascii="Arial" w:cs="Arial" w:eastAsia="Arial" w:hAnsi="Arial"/>
                <w:sz w:val="18"/>
                <w:szCs w:val="18"/>
                <w:color w:val="auto"/>
                <w:w w:val="97"/>
              </w:rPr>
              <w:t>, which regulates Class III medical devices, including NGS products, under</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w w:val="91"/>
              </w:rPr>
              <w:t>product registration management. It also provided detailed requirements for Class III medical device</w:t>
            </w:r>
          </w:p>
        </w:tc>
      </w:tr>
      <w:tr>
        <w:trPr>
          <w:trHeight w:val="230"/>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registration.</w:t>
            </w:r>
          </w:p>
        </w:tc>
      </w:tr>
      <w:tr>
        <w:trPr>
          <w:trHeight w:val="364"/>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80" w:type="dxa"/>
            <w:vAlign w:val="bottom"/>
          </w:tcPr>
          <w:p>
            <w:pPr>
              <w:ind w:left="168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540" w:type="dxa"/>
            <w:vAlign w:val="bottom"/>
            <w:gridSpan w:val="2"/>
          </w:tcPr>
          <w:p>
            <w:pPr>
              <w:ind w:left="420"/>
              <w:spacing w:after="0"/>
              <w:rPr>
                <w:sz w:val="20"/>
                <w:szCs w:val="20"/>
                <w:color w:val="auto"/>
              </w:rPr>
            </w:pPr>
            <w:r>
              <w:rPr>
                <w:rFonts w:ascii="Arial" w:cs="Arial" w:eastAsia="Arial" w:hAnsi="Arial"/>
                <w:sz w:val="14"/>
                <w:szCs w:val="14"/>
                <w:b w:val="1"/>
                <w:bCs w:val="1"/>
                <w:color w:val="auto"/>
              </w:rPr>
              <w:t>Authority</w:t>
            </w:r>
          </w:p>
        </w:tc>
        <w:tc>
          <w:tcPr>
            <w:tcW w:w="7280" w:type="dxa"/>
            <w:vAlign w:val="bottom"/>
          </w:tcPr>
          <w:p>
            <w:pPr>
              <w:ind w:left="3220"/>
              <w:spacing w:after="0"/>
              <w:rPr>
                <w:sz w:val="20"/>
                <w:szCs w:val="20"/>
                <w:color w:val="auto"/>
              </w:rPr>
            </w:pPr>
            <w:r>
              <w:rPr>
                <w:rFonts w:ascii="Arial" w:cs="Arial" w:eastAsia="Arial" w:hAnsi="Arial"/>
                <w:sz w:val="14"/>
                <w:szCs w:val="14"/>
                <w:b w:val="1"/>
                <w:bCs w:val="1"/>
                <w:color w:val="auto"/>
              </w:rPr>
              <w:t>Key messages</w:t>
            </w:r>
          </w:p>
        </w:tc>
      </w:tr>
      <w:tr>
        <w:trPr>
          <w:trHeight w:val="195"/>
        </w:trPr>
        <w:tc>
          <w:tcPr>
            <w:tcW w:w="2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September 2018</w:t>
            </w:r>
          </w:p>
        </w:tc>
        <w:tc>
          <w:tcPr>
            <w:tcW w:w="100" w:type="dxa"/>
            <w:vAlign w:val="bottom"/>
          </w:tcPr>
          <w:p>
            <w:pPr>
              <w:spacing w:after="0"/>
              <w:rPr>
                <w:sz w:val="16"/>
                <w:szCs w:val="16"/>
                <w:color w:val="auto"/>
              </w:rPr>
            </w:pPr>
          </w:p>
        </w:tc>
        <w:tc>
          <w:tcPr>
            <w:tcW w:w="14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NHC</w:t>
            </w:r>
          </w:p>
        </w:tc>
        <w:tc>
          <w:tcPr>
            <w:tcW w:w="100" w:type="dxa"/>
            <w:vAlign w:val="bottom"/>
          </w:tcPr>
          <w:p>
            <w:pPr>
              <w:spacing w:after="0"/>
              <w:rPr>
                <w:sz w:val="16"/>
                <w:szCs w:val="16"/>
                <w:color w:val="auto"/>
              </w:rPr>
            </w:pPr>
          </w:p>
        </w:tc>
        <w:tc>
          <w:tcPr>
            <w:tcW w:w="7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 xml:space="preserve">The NHC published </w:t>
            </w:r>
            <w:r>
              <w:rPr>
                <w:rFonts w:ascii="Arial" w:cs="Arial" w:eastAsia="Arial" w:hAnsi="Arial"/>
                <w:sz w:val="18"/>
                <w:szCs w:val="18"/>
                <w:i w:val="1"/>
                <w:iCs w:val="1"/>
                <w:color w:val="auto"/>
                <w:w w:val="94"/>
              </w:rPr>
              <w:t>Guidelines for Clinical Application of New Cancer Drugs</w:t>
            </w:r>
            <w:r>
              <w:rPr>
                <w:rFonts w:ascii="Arial" w:cs="Arial" w:eastAsia="Arial" w:hAnsi="Arial"/>
                <w:sz w:val="18"/>
                <w:szCs w:val="18"/>
                <w:color w:val="auto"/>
                <w:w w:val="94"/>
              </w:rPr>
              <w:t xml:space="preserve"> to guide the clinical</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w w:val="94"/>
              </w:rPr>
              <w:t>application of cancer drugs. The guidelines cover 7 types of tumors including respiratory system,</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w w:val="90"/>
              </w:rPr>
              <w:t>digestive system, blood tumor, urinary system, breast cancer and 42 types of cancer drugs, providing</w:t>
            </w:r>
          </w:p>
        </w:tc>
      </w:tr>
      <w:tr>
        <w:trPr>
          <w:trHeight w:val="230"/>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clear guidance for precision medicine.</w:t>
            </w:r>
          </w:p>
        </w:tc>
      </w:tr>
      <w:tr>
        <w:trPr>
          <w:trHeight w:val="310"/>
        </w:trPr>
        <w:tc>
          <w:tcPr>
            <w:tcW w:w="2200" w:type="dxa"/>
            <w:vAlign w:val="bottom"/>
            <w:gridSpan w:val="2"/>
          </w:tcPr>
          <w:p>
            <w:pPr>
              <w:spacing w:after="0"/>
              <w:rPr>
                <w:sz w:val="20"/>
                <w:szCs w:val="20"/>
                <w:color w:val="auto"/>
              </w:rPr>
            </w:pPr>
            <w:r>
              <w:rPr>
                <w:rFonts w:ascii="Arial" w:cs="Arial" w:eastAsia="Arial" w:hAnsi="Arial"/>
                <w:sz w:val="18"/>
                <w:szCs w:val="18"/>
                <w:color w:val="auto"/>
              </w:rPr>
              <w:t>November 2018</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NMPA</w:t>
            </w:r>
          </w:p>
        </w:tc>
        <w:tc>
          <w:tcPr>
            <w:tcW w:w="7280" w:type="dxa"/>
            <w:vAlign w:val="bottom"/>
          </w:tcPr>
          <w:p>
            <w:pPr>
              <w:spacing w:after="0"/>
              <w:rPr>
                <w:sz w:val="20"/>
                <w:szCs w:val="20"/>
                <w:color w:val="auto"/>
              </w:rPr>
            </w:pPr>
            <w:r>
              <w:rPr>
                <w:rFonts w:ascii="Arial" w:cs="Arial" w:eastAsia="Arial" w:hAnsi="Arial"/>
                <w:sz w:val="18"/>
                <w:szCs w:val="18"/>
                <w:color w:val="auto"/>
                <w:w w:val="94"/>
              </w:rPr>
              <w:t xml:space="preserve">The NMPA published </w:t>
            </w:r>
            <w:r>
              <w:rPr>
                <w:rFonts w:ascii="Arial" w:cs="Arial" w:eastAsia="Arial" w:hAnsi="Arial"/>
                <w:sz w:val="18"/>
                <w:szCs w:val="18"/>
                <w:i w:val="1"/>
                <w:iCs w:val="1"/>
                <w:color w:val="auto"/>
                <w:w w:val="94"/>
              </w:rPr>
              <w:t>Notice Concerning Public Solicitation of Opinions on Guidelines for Clinical</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i w:val="1"/>
                <w:iCs w:val="1"/>
                <w:color w:val="auto"/>
                <w:w w:val="98"/>
              </w:rPr>
              <w:t>Trials of In Vitro Diagnostic Reagents</w:t>
            </w:r>
            <w:r>
              <w:rPr>
                <w:rFonts w:ascii="Arial" w:cs="Arial" w:eastAsia="Arial" w:hAnsi="Arial"/>
                <w:sz w:val="18"/>
                <w:szCs w:val="18"/>
                <w:color w:val="auto"/>
                <w:w w:val="98"/>
              </w:rPr>
              <w:t>, which provides basic principles for IVD reagent clinical</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trials, provides recommendations in principle for clinical trial design, identifies key factors to</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w w:val="92"/>
              </w:rPr>
              <w:t>consider during clinical trials, and provides reference for technical review departments in reviewing</w:t>
            </w:r>
          </w:p>
        </w:tc>
      </w:tr>
      <w:tr>
        <w:trPr>
          <w:trHeight w:val="230"/>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clinical trial data.</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Significant PRC Regulations Affecting Our Business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Commercial Bribery Regulations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Standing Committee of the National People’s Congress adopted the Anti-Unfair Competition Law, which became effective on December 1, 1993 and was amended on November 4, 2017 and April 23, 2019, respectively, with the most recent amendment coming into force on January 1, 2018. The Anti-Unfair Competition Law provides that a business operator commits a crime if it offers money or any other bribes in the course of selling or purchasing products.</w:t>
      </w:r>
    </w:p>
    <w:p>
      <w:pPr>
        <w:spacing w:after="0" w:line="18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Medical device companies involved in criminal investigations or administrative proceedings related to bribery are listed in the Adverse Records of Commercial Briberies by their respective provincial health and family planning administrative departments. Pursuant to the Provisions on the Establishment of Adverse Records of Commercial Briberies in the Medicine Purchase and Sales Industry, which became effective on March 1, 2014, provincial health and family planning administrative departments are responsible for formulating the implementing measures for the establishment of Adverse Records of Commercial Briberies. If a company is listed in the Adverse Records of Commercial Briberies for the first time, its products may not be purchased by public medical institutions. A company will not be penalized by the relevant PRC government authorities merely by virtue of having contractual relationships with sales agents or third-party promoters who are engaged in bribery activities, so long as such company and its employees are not utilizing the sales agents or third-party promoters for the implementation of, or acting in conjunction with them in, the prohibited bribery activities. In addition, a company is under no legal obligation to monitor the operating activities of its sales agents and third-party promoters, and will not be subject to penalties or sanctions by relevant PRC government authorities as a result of failure to monitor their operating activities.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Product Liability Regulations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In addition to a strict new medical products approval process, certain PRC laws have been promulgated to protect the rights of consumers and to strengthen the control of medical products in China. Under current PRC law, manufacturers and vendors of defective products in China may incur liability for loss and injury caused by such products. Pursuant to the General Principles of the Civil Law of the PRC promulgated on April 12, 1986 and amended on August 27, 2009, a defective product that causes property damage or physical injury to any person may subject the manufacturer or vendor of that product to civil liability for such damage or injury. On May 28, 2020, the Third Session of the 13th National People’s Congress passed the Civil Code of the PRC which took effect on January 1, 2021, and replaced the General Principles of the Civil Law of the PRC. The Civil Code of the PRC provides that the defective product that causes any property damage or physical injury to any person may subject the manufacturer or vendor of that product to civil liability for such damage or injury.</w:t>
      </w:r>
    </w:p>
    <w:p>
      <w:pPr>
        <w:spacing w:after="0" w:line="17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On February 22, 1993, the Product Quality Law of the PRC, or the Product Quality Law, was promulgated to supplement the Civil Law of the PRC aiming to protect the legitimate rights and interests of the end-users and consumers and to strengthen the supervision and control of the quality of products. The Product Quality Law was revised by the National People’s Congress on July 8, 2000, August 27, 2009 and December 29, 2018. Pursuant to the revised Product Quality Law, manufacturers who produce defective products may be subject to civil or criminal liability and have their business licenses revoked.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Law of the PRC on the Protection of the Rights and Interests of Consumers was promulgated on October 31, 1993 and was amended on August 27, 2009 and October 25, 2013 to protect consumers’ rights when they purchase or use goods and accept services. All business operators must comply with this law when they manufacture or sell goods and/or provide services to customers. Under the amendments made on October 25, 2013, all business operators must pay high attention to protecting customers’ privacy and must strictly keep confidential any consumer information they obtain during their business operations. In addition, in extreme situations, pharmaceutical product manufacturers and operators may be subject to criminal liability if their goods or services lead to the death or injuries of customers or other third parties.</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are not aware of any material product liability related litigation or other legal proceedings against us arising from the gene testing products or services that we provide to our customers.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Law of PRC Tort Liabilities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On May 28, 2020, the Third Session of the 13th National People’s Congress passed the Civil Code of the PRC which took effect on January 1, 2021, and replaced the Tort Law of the PRC. Under the Civil Code of the PRC, if damages to persons are caused by defective products due to the fault of a third party, such as the parties providing transportation or warehousing services, the producers and the sellers of the products have a right to recover their respective losses from such third parties. If defective products are identified after they have been distributed, the producers or the sellers must take remedial measures, such as issuance of a warning or recall of products, in a timely manner. The producers or the sellers will be liable under tort if they fail to take remedial measures in a timely manner or have not made efforts to take remedial measures, thus causing damages. If the products are produced or sold with known defects and cause deaths or severe adverse health issues, the infringed party has a right to claim punitive damages in addition to compensatory damages.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 Laws and Regulations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China has made substantial efforts to promulgate comprehensive legislation governing intellectual property rights, including laws and regulations on patents, trademarks, copyrights and domain names.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Patents</w:t>
      </w:r>
    </w:p>
    <w:p>
      <w:pPr>
        <w:spacing w:after="0" w:line="117"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Pursuant to the PRC Patent Law, most recently amended in October 2020, and its implementation rules, most recently amended in January 2010, patents in China fall into three categories: invention, utility model and design. An invention patent is granted to a new technical solution proposed in respect of a product or method or an improvement of a product or method. A utility model is granted to a new technical solution that is practicable for application and proposed in respect of the shape, structure (or a combination of both) of a product. A design patent is granted to a new design of a certain product in shape (overall or partial), pattern (or a combination of both) and in color, shape and pattern combinations aesthetically suitable for industrial application. Under the PRC Patent Law, the term of patent protection starts from the date of application. Patents relating to invention are effective for twenty years, and utility model and design patents are effective for ten years from the date of application. The PRC Patent Law adopts the principle of “first-to-file” system, which provides that where more than one person files a patent application for the same invention, a patent will be granted to the person who first files the application.</w:t>
      </w:r>
    </w:p>
    <w:p>
      <w:pPr>
        <w:spacing w:after="0" w:line="18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Existing patents can be narrowed, invalidated or unenforceable due to a variety of grounds, including lack of novelty, creativity, and deficiencies in patent application. In China, a patent must have novelty, creativity and practical applicability. Under the PRC Patent Law, novelty means that before a patent application is filed, no identical invention or utility model has been publicly disclosed in any publication in China or overseas or has been publicly used or made known to the public by any other means, whether in or outside of China, nor has any other person filed with the patent authority an application that describes an identical invention or utility model and is recorded in patent application documents or patent documents published after the filing date. Creativity means that, compared with existing technology, an invention has prominent substantial features and represents notable progress, and a utility model has substantial features and represents any progress. Practical applicability means an invention or utility model can be manufactured or used and may produce positive results. Patents in China are filed with the State Intellectual Property Office, or SIPO. Normally, the SIPO publishes an application for an invention patent within 18 months after the filing date, which may be shortened at the request of applicant. The applicant must apply to the SIPO for a substantive examination within three years from the date of application.</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PRC Patent Law provides that, for an invention or utility model completed in China, any applicant (not limited to Chinese companies and individuals), before filing a patent application outside of China, must first submit it to the SIPO for a confidential examination. Failure to comply with this requirement will result in the denial of any Chinese patent for the relevant invention. This added requirement of confidential examination by the SIPO has raised concerns by foreign companies that conduct research and development activities in China or outsource research and development activities to service providers in China.</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Patent Enforcement</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Unauthorized use of patents without consent from owners of patents, forgery of patents belonging to other persons, or engaging in other patent infringement acts, will subject the infringers to infringement liability. Serious offenses such as forgery of patents may be subject to criminal penalties.</w:t>
      </w:r>
    </w:p>
    <w:p>
      <w:pPr>
        <w:spacing w:after="0" w:line="12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When a dispute arises out of the infringement of a patent owner’s patent rights, PRC law requires that the parties first attempt to settle the dispute through mutual consultation. However, if the dispute cannot be settled through mutual consultation, the patent owner, or an interested party who believes the patent is being infringed, may either file a civil legal suit or file an administrative complaint with the relevant patent administration authority. A Chinese court may issue a preliminary injunction upon the request of the patent owner or an interested party before instituting any legal proceedings or during the proceedings. Damages for infringement are calculated as the loss suffered by the patent holder arising from the infringement, and if the loss suffered by the patent holder arising from the infringement cannot be determined, the damages for infringement are calculated as the benefit gained by the infringer from the infringement. If it is difficult to ascertain damages in this manner, damages may be determined using a reasonable multiple of the license fee under a contractual license. Statutory damages may be awarded in circumstances where damages cannot be determined by the calculation standards described above. The damage calculation methods will be applied in the order described above. Generally, a patent owner has the burden of proving that the patent is being infringed. However, if the owner of an invention patent for manufacturing process of a new product alleges infringement of its patent, the alleged infringer has the burden of proof.</w:t>
      </w:r>
    </w:p>
    <w:p>
      <w:pPr>
        <w:spacing w:after="0" w:line="18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As of December 31, 2020, we held 16 patents in China, which will expire between 2025 and 2039. We held one patent in Hong Kong, which will expire in 2038. As of the same date, we had ten pending patent applications in China, five pending patent applications in Hong Kong, two pending patent applications in the United States, two pending patent applications in Europe, two pending patent applications in Japan, one pending patent application in Canada, one pending patent application in Brazil, one pending patent application in Singapore, one pending patent application in Australia, and five international applications strategically filed under the Patent Cooperation Treaty, or PCT, of which one is the basis of pending registration for our MSI calling algorithms in the U.S., European Patent Office and Japan and another two are the basis of pending registration for brELSA</w:t>
      </w:r>
      <w:r>
        <w:rPr>
          <w:rFonts w:ascii="Arial" w:cs="Arial" w:eastAsia="Arial" w:hAnsi="Arial"/>
          <w:sz w:val="14"/>
          <w:szCs w:val="14"/>
          <w:color w:val="auto"/>
        </w:rPr>
        <w:t>™</w:t>
      </w:r>
      <w:r>
        <w:rPr>
          <w:rFonts w:ascii="Arial" w:cs="Arial" w:eastAsia="Arial" w:hAnsi="Arial"/>
          <w:sz w:val="17"/>
          <w:szCs w:val="17"/>
          <w:color w:val="auto"/>
        </w:rPr>
        <w:t>, our targeted DNA-methylation based library preparation method for early cancer detection, in the U.S., Canada, Brazil, Singapore, Australia, China, Hong Kong, Japan and the European Patent Office.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Trade Secrets</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According to the PRC Anti-Unfair Competition Law, the term “trade secrets” refers to technical and business information that is unknown to the public, has utility and may create business interests or profits for its legal owners or holders, and is maintained as a secret by its legal owners or holders.</w:t>
      </w:r>
    </w:p>
    <w:p>
      <w:pPr>
        <w:spacing w:after="0" w:line="12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Under the PRC Anti-Unfair Competition Law, which was promulgated on September 2, 1993 and was amended on November 4, 2017 and April 23, 2019, respectively, business persons are prohibited from infringing others’ trade secrets by: (1) obtaining the trade secrets from the legal owners or holders by any unfair methods such as theft, bribery, intimidation, solicitation or coercion; (2) disclosing, using or permitting others to use the trade secrets obtained illegally under item (1) above; (3) disclosing, using or permitting others to use the trade secrets in violation of any contractual agreements or any confidentiality obligation or the requirements of the legal owners or holders to keep such trade secrets in confidence; or (4) abetting a person, or tempting, or aiding a person into or in acquiring, disclosing, using, or allowing another person to use the trade secret of the right holder in violation of his or her non-disclosure obligation or the requirements of the right holder for keeping the trade secret confidential. If a third party knows or should have known that an employee or former employee of the right owner of trade secrets or any other entity or individual conducts any of the illegal acts listed above, but still accepts, publishes, uses or allows any other to use such secrets, this practice will be deemed as an infringement of trade secrets. A party whose trade secrets are being misappropriated may petition for administrative corrections, and regulatory authorities may stop any illegal activities and fine infringing parties in the amount of RMB100,000 to RMB1,000,000, and where the circumstance is serious, the fine will be RMB500,000 to RMB5,000,000. Alternatively, persons whose trade secrets are being misappropriated may file lawsuits in a Chinese court for loss and damages incurred due to the misappropriation.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measures to protect trade secrets include oral or written non-disclosure agreements or other reasonable measures to require the employees of, or persons in business contact with, legal owners or holders to keep trade secrets confidential. Once the legal owners or holders have asked others to keep trade secrets confidential and have adopted reasonable protection measures, the requested persons bear the responsibility for keeping the trade secrets confidential.</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Trademarks</w:t>
      </w:r>
    </w:p>
    <w:p>
      <w:pPr>
        <w:spacing w:after="0" w:line="117" w:lineRule="exact"/>
        <w:rPr>
          <w:sz w:val="20"/>
          <w:szCs w:val="20"/>
          <w:color w:val="auto"/>
        </w:rPr>
      </w:pPr>
    </w:p>
    <w:p>
      <w:pPr>
        <w:ind w:left="120" w:right="420" w:firstLine="440"/>
        <w:spacing w:after="0" w:line="291" w:lineRule="auto"/>
        <w:rPr>
          <w:sz w:val="20"/>
          <w:szCs w:val="20"/>
          <w:color w:val="auto"/>
        </w:rPr>
      </w:pPr>
      <w:r>
        <w:rPr>
          <w:rFonts w:ascii="Arial" w:cs="Arial" w:eastAsia="Arial" w:hAnsi="Arial"/>
          <w:sz w:val="16"/>
          <w:szCs w:val="16"/>
          <w:color w:val="auto"/>
        </w:rPr>
        <w:t>The PRC Trademark Law and its implementation rules protect registered trademarks. The PRC Trademark Office of State Administration of Industry and Commerce is responsible for the registration and administration of trademarks throughout the PRC. The Trademark Law has adopted</w:t>
      </w:r>
    </w:p>
    <w:p>
      <w:pPr>
        <w:ind w:left="120" w:right="80"/>
        <w:spacing w:after="0" w:line="260" w:lineRule="auto"/>
        <w:rPr>
          <w:sz w:val="20"/>
          <w:szCs w:val="20"/>
          <w:color w:val="auto"/>
        </w:rPr>
      </w:pPr>
      <w:r>
        <w:rPr>
          <w:rFonts w:ascii="Arial" w:cs="Arial" w:eastAsia="Arial" w:hAnsi="Arial"/>
          <w:sz w:val="18"/>
          <w:szCs w:val="18"/>
          <w:color w:val="auto"/>
        </w:rPr>
        <w:t>a “first-to-file” principle with respect to trademark registration. As of December 31, 2020, we had 242 registered trademarks and 47 pending trademark applications in the PRC.</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Copyright</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Pursuant to the Copyright Law of the PRC, as amended, copyrights include personal rights such as the right of publication and that of attribution as well as property rights such as the rights of production and distribution. Reproducing, distributing, performing, projecting, broadcasting or compiling a work or communicating the same to the public via an information network without permission from the owner of the copyright therein, unless otherwise provided in the Copyright Law of the PRC, constitutes infringements of copyrights. The infringer must, according to the circumstances of the case, undertake to cease the infringement, take remedial action, and offer an apology or pay damages.</w:t>
      </w:r>
    </w:p>
    <w:p>
      <w:pPr>
        <w:spacing w:after="0" w:line="176"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Pursuant to the Computer Software Copyright Protection Regulations promulgated on December 20, 2001 and amended in January 8, 2011 and January 30, 2013, a software copyright owner may complete registration formalities with a software registration authority recognized by the State Council’s copyright administrative department. A software copyright owner may authorize others to exercise that copyright, and is entitled to receive remuneration. As of December 31, 2020, we had four software copyrights.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Domain Names</w:t>
      </w:r>
    </w:p>
    <w:p>
      <w:pPr>
        <w:spacing w:after="0" w:line="11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Domain names are protected under the Administrative Measures on the Internet Domain Names promulgated by the Ministry of Industry and Information Technology. The Ministry of Industry and Information Technology is the main regulatory body responsible for the administration of PRC internet domain names. As of December 31, 2020, we had four registered domain names, including our official website.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PRC Regulation on Data Protection</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Basic Standards for Medical Laboratories (for Trial Implementation), as promulgated by the NHFPC in 2016, provides that medical laboratories must establish information management and patient privacy protection policies. The Measures for the Administration of General Population Health Information (for Trial Implementation) as promulgated by the NHFPC in 2014 sets forth the operational measures for patient privacy protection in medical institutions. The measures regulate the collection, use, management, safety and privacy protection of general population health information by medical institutions. Medical institutions must establish information management departments responsible for general population health information and establish quality control procedures and relevant information systems to manage this information. Medical institutions must adopt stringent procedures to verify the general population health data collected, timely update and maintain the data, establish policies on the authorized use of this information, and establish safety protection systems, policies, practice and technical guidance to avoid divulging confidential or private information.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To comply with these laws and regulations, we have required our customers and research partners to consent to, or obtain consent from the tested individuals to, our collection and use of their personal information for our genetic tests. We have also established information security systems to protect tested individuals’ privacy, including data access restrictions and monitoring, data storage, database encryption and backup procedures.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PRC Regulation on Labor Protection</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 the Labor Law of the PRC, effective on January 1, 1995 and subsequently amended on August 27, 2009 and December 29, 2018, the PRC Employment Contract Law, effective on January 1, 2008 and subsequently amended on December 28, 2012 and the Implementing Regulations of the Employment Contract Law, effective on September 18, 2008, employers must establish a comprehensive management system to protect the rights of their employees, including a system governing occupational health and safety to provide employees with occupational training to prevent occupational injury. Employers are also required to truthfully inform prospective employees of the job description, working conditions, location, occupational hazards and status of safe production as well as remuneration and other conditions as requested by the Labor Contract Law of the PRC.</w:t>
      </w:r>
    </w:p>
    <w:p>
      <w:pPr>
        <w:spacing w:after="0" w:line="16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Pursuant to the Law of Manufacturing Safety of the PRC, effective on November 1, 2002 and amended on August 27, 2009 and August 31, 2014, manufacturers must establish a comprehensive management system to ensure manufacturing safety in accordance with applicable laws, regulations, national standards, and industrial standards. Manufacturers not meeting relevant legal requirements are not permitted to commence manufacturing activities.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Administrative Measures Governing the Production Quality of Pharmaceutical Products effective on March 1, 2011, manufacturers of pharmaceutical products must establish production safety and labor protection measures in connection with the operation of their manufacturing equipment and manufacturing process.</w:t>
      </w:r>
    </w:p>
    <w:p>
      <w:pPr>
        <w:spacing w:after="0" w:line="18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Pursuant to applicable PRC laws, rules and regulations, including the Social Insurance Law, which became effective on July 1, 2011 and amended on December 29, 2018, the Interim Regulations on the Collection and Payment of Social Security Funds, which became effective on January 22, 1999 and amended on March 24, 2019, the Interim Measures concerning the Maternity Insurance of Employees, which become effective on January 1, 1995, and the Regulations on Work-related Injury Insurance, which became effective on January 1, 2004 and was subsequently amended on December 20, 2010, employers must contribute, on behalf of their employees, to a number of social security funds, including funds for basic pension insurance, unemployment insurance, basic medical insurance, work-related injury insurance and maternity insurance. If an employer fails to make social insurance contributions timely and in full, the social insurance collecting authority will order the employer to make up outstanding contributions within the prescribed time period and impose a late payment fee at the rate of 0.05% per day from the date on which the contribution becomes due. If such an employer fails to make the overdue contributions within the time limit, the relevant administrative department may impose a fine equivalent to one to three times the overdue amount.</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Regulations Relating to Foreign Exchange Registration of Offshore Investment by PRC Residents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July 2014, SAFE issued SAFE Circular 37 and its implementation guidelines. Pursuant to SAFE Circular 37 and its implementation guidelines, PRC residents (including PRC institutions and individuals) must register with local branches of SAFE in connection with their direct or indirect offshore investment in an overseas special purpose vehicle, or SPV, directly established or indirectly controlled by PRC residents for the purposes of offshore investment and financing with their legally owned assets or interests in domestic enterprises, or their legally owned offshore assets or interests. PRC residents required to make these registrations are also required to amend their registrations with SAFE when there is a change to the basic information of the SPV, such as changes of a PRC resident individual shareholder, the name or operating period of the SPV, or when there is a significant change to the SPV, such as changes of the PRC individual resident’s increase or decrease of its capital contribution in the SPV, or any share transfer or exchange, merger, division of the SPV. In February 2015, SAFE further promulgated the Circular of the State Administration of Foreign Exchange on Further Simplifying and Improving Policies for the Foreign Exchange Administration of Direct Investment, or the SAFE Circular 13, effective June 2015. SAFE Circular 13 amends SAFE Circular 37 by requiring PRC residents or entities to register with qualified banks rather than the SAFE or its local branch in connection with their establishment or control of an offshore entity established for the purpose of overseas investment or financing. Failure to comply with the registration procedures set forth in these regulations may result in restrictions being imposed on the foreign exchange activities of the relevant onshore company, including the payment of dividends and other distributions to its offshore parent or affiliate, the capital inflow from the offshore entities and settlement of foreign exchange capital, and may also subject relevant onshore company or PRC residents to penalties under PRC foreign exchange administration regulations.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Regulations Relating to Employee Stock Incentive Plan</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February 2012, SAFE promulgated the Notices on Issues Concerning the Foreign Exchange Administration for Domestic Individuals Participating in Stock Incentive Plans of Overseas Publicly Listed Companies, or the Stock Option Rules. In accordance with the Stock Option Rules and relevant rules and regulations, PRC citizens or non-PRC citizens residing in China for a continuous period of not less than one year, who participate in any stock incentive plan of an overseas publicly listed company, subject to a few exceptions, must register with SAFE through a domestic qualified agent, which could be a PRC subsidiary of such overseas listed company, and complete certain procedures. We and our employees who are PRC citizens or who reside in China for a continuous period of not less than one year and who participate in our stock incentive plan will be subject to these regulations. In addition, the SAT has issued circulars concerning employee share options or restricted shares. Under these circulars, employees working in the PRC who exercise share options, or whose restricted shares vest, will be subject to PRC individual income tax, or the IIT. The PRC subsidiaries of an overseas listed company have obligations to file documents related to employee share options or restricted shares with relevant tax authorities and to withhold IIT of these employees related to their share options or restricted shares. If the employees fail to pay, or the PRC subsidiaries fail to withhold, their IIT in accordance with relevant laws, rules and regulations, the PRC subsidiaries may face sanctions imposed by the tax authorities or other PRC government authorities.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Regulations Relating to Dividend Distributions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regulations governing distributions of dividends paid by wholly foreign-owned enterprises include:</w:t>
      </w:r>
    </w:p>
    <w:p>
      <w:pPr>
        <w:spacing w:after="0" w:line="13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Company Law of the PRC (1993), as amended in 1999, 2004, 2005, 2013, and 2018;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Investment Enterprise Law of the PRC;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Implementation Rules to the Foreign Investment Law.</w:t>
      </w:r>
    </w:p>
    <w:p>
      <w:pPr>
        <w:spacing w:after="0" w:line="225"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Under these laws and regulations, foreign-invested enterprises in China may pay dividends only out of their accumulated profits, if any, determined in accordance with PRC accounting standards and regulations. In addition, a wholly foreign-owned enterprise in China is required to set aside at least 10% of its after-tax profit (based on PRC accounting standards) each year to its general reserves until the accumulative amount of such reserves reach 50% of its registered capital. These reserves are not distributable as cash dividends. A foreign-invested enterprise has the discretion to allocate a portion of its after-tax profits to staff welfare and bonus funds. A PRC company may not distribute any profits until any losses from prior fiscal years have been offset. Profits retained from prior fiscal years may be distributed together with distributable profits from the current fiscal year.</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Regulations Relating to Foreign Exchange</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principal regulations governing foreign currency exchange in China are the Foreign Exchange Administration Regulations, most recently amended in August 2008. Under the Foreign Exchange Administration Regulations, payments of current account items, such as profit distributions and trade and service-related foreign exchange transactions, can be made in foreign currencies without prior approval from SAFE by complying with certain procedural requirements. However, approval from or registration with appropriate government authorities is required where Renminbi is to be converted into foreign currency and remitted out of China to pay capital expenses, such as the repayment of foreign currency-denominated loans.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August 2008, SAFE issued the Circular on the Relevant Operating Issues Concerning the Improvement of the Administration of the Payment and Settlement of Foreign Currency Capital of Foreign-Invested Enterprises, or SAFE Circular No. 142, regulating the conversion by a foreign-invested enterprise of foreign currency-registered capital into RMB by restricting how the converted RMB may be used. SAFE Circular No. 142 provides that RMB capital converted from foreign currency registered capital of a foreign-invested enterprise may only be used for purposes within the enterprise’s business scope approved by the applicable government authority and may not be used for equity investments within China. SAFE also strengthened its oversight of the flow and use of Renminbi capital converted from foreign currency registered capital of foreign-invested enterprises. The use of such Renminbi capital may not be changed without SAFE’s approval, and such Renminbi capital may not in any case be used to repay Renminbi loans if the proceeds of such loans have not been used. In March 2015, SAFE issued SAFE Circular No. 19, which took effective and replaced SAFE Circular No. 142 on June 1, 2015. Although SAFE Circular No. 19 allows for the use of Renminbi converted from the foreign currency-denominated capital for equity investments in China, the restrictions continue to apply as to foreign-invested enterprises’ use of the converted Renminbi for purposes beyond the business scope, for entrusted loans or for inter-company Renminbi loans. SAFE promulgated the Notice of the SAFE on Reforming and Standardizing the Foreign Exchange Settlement Management Policy of Capital Account, or Circular 16, effective on June 9, 2016, which reiterates some of the rules set forth in Circular 19, but changes the prohibition against using Renminbi capital converted from foreign currency-denominated registered capital of a foreign-invested company to issue Renminbi entrusted loans to a prohibition against using such capital to issue loans to non-associated enterprises. Violations of SAFE Circular 19 or Circular 16 could result in administrative penalties.</w:t>
      </w:r>
    </w:p>
    <w:p>
      <w:pPr>
        <w:spacing w:after="0" w:line="16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November 2012, SAFE promulgated the Circular of Further Improving and Adjusting Foreign Exchange Administration Policies on Foreign Direct Investment, which substantially amended and simplified foreign exchange procedures. Pursuant to this circular, the opening of various special purpose foreign exchange accounts (e.g., pre-establishment expenses accounts, foreign exchange capital accounts and guarantee accounts), the reinvestment of lawful incomes derived by foreign investors in China (e.g. profit, proceeds of equity transfer, capital reduction, liquidation and early repatriation of investment), and purchase and remittance of foreign exchange as a result of capital reduction, liquidation, early repatriation or share transfer in a foreign-invested enterprise no longer require SAFE approval, and multiple capital accounts for the same entity may be opened in different provinces, which was not previously permitted. In addition, SAFE promulgated the Circular on Printing and Distributing the Provisions on Foreign Exchange Administration over Domestic Direct Investment by Foreign Investors and the Supporting Documents in May 2013 and amended in October 2018, which specifies that the administration by SAFE or its local branches over direct investment by foreign investors in the PRC shall be conducted by way of registration and banks shall process foreign exchange business relating to the direct investment in China based on the registration information provided by SAFE and its branches.</w:t>
      </w:r>
    </w:p>
    <w:p>
      <w:pPr>
        <w:spacing w:after="0" w:line="18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Furthermore, SAFE Circular No. 13 delegates the authority to enforce the foreign exchange registration in connection with the inbound and outbound direct investment under relevant SAFE rules to certain banks and therefore further simplifies the foreign exchange registration procedures for inbound and outbound direct investment.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Regulations on Enterprise Income Tax</w:t>
      </w:r>
    </w:p>
    <w:p>
      <w:pPr>
        <w:spacing w:after="0" w:line="117"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Pursuant to the EIT Law effective as of January 2008 and as last amended in December 2018, the income tax rate for both domestic and foreign-invested enterprises is 25% with certain exceptions. To clarify certain provisions in the EIT Law, the State Council promulgated the Implementation Rules of the EIT Law in December 2007, which became effective in January 2008 and as amended in April 2019. Under the EIT Law and the Implementation Rules of the EIT Law, enterprises are classified as either “resident enterprises” or “non-resident enterprises.” Besides enterprises established within the PRC, enterprises established outside of China whose “de facto management bodies” are located in China are considered “resident enterprises” and are subject to the uniform 25% enterprise income tax rate for their global income. In addition, the EIT Law provides that</w:t>
      </w:r>
    </w:p>
    <w:p>
      <w:pPr>
        <w:spacing w:after="0" w:line="4" w:lineRule="exact"/>
        <w:rPr>
          <w:sz w:val="20"/>
          <w:szCs w:val="20"/>
          <w:color w:val="auto"/>
        </w:rPr>
      </w:pPr>
    </w:p>
    <w:p>
      <w:pPr>
        <w:ind w:left="120" w:right="380"/>
        <w:spacing w:after="0" w:line="255" w:lineRule="auto"/>
        <w:rPr>
          <w:sz w:val="20"/>
          <w:szCs w:val="20"/>
          <w:color w:val="auto"/>
        </w:rPr>
      </w:pPr>
      <w:r>
        <w:rPr>
          <w:rFonts w:ascii="Arial" w:cs="Arial" w:eastAsia="Arial" w:hAnsi="Arial"/>
          <w:sz w:val="18"/>
          <w:szCs w:val="18"/>
          <w:color w:val="auto"/>
        </w:rPr>
        <w:t>a non-resident enterprise refers to an entity established under foreign law whose “de facto management body” is not within the PRC, but has an establishment or place of business in the PRC, or does not have an establishment or place of business in the PRC but has income sourced within the PRC.</w:t>
      </w:r>
    </w:p>
    <w:p>
      <w:pPr>
        <w:spacing w:after="0" w:line="19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Implementation Rules of the EIT Law provide that since January 2008, an income tax rate of 10% will normally be applicable to dividends declared to non-PRC resident enterprise investors that do not have an establishment or place of business in the PRC, or have such establishment or place of business but the relevant income is not effectively connected with the establishment or place of business, to the extent such dividends are derived from sources within the PRC. The income tax on dividends may be reduced pursuant to a tax treaty between China and the jurisdictions in which the non-PRC shareholders reside.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PRC National- and Provincial-Level Laws and Regulations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are subject to changing regulations under many other laws and regulations administered by governmental authorities at the national, provincial and municipal levels, some of which are or may become applicable to our business. These laws and regulations governing both the disclosure and the use of confidential patient medical information may become more restrictive.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also comply with numerous additional national and provincial laws relating to matters such as safe working conditions, manufacturing practices, environmental protection and fire hazard control in all material aspects. We believe that we are currently in compliance with these laws and regulations; however, we may be required to incur significant costs to comply with these laws and regulations in the future. Unanticipated changes in existing regulatory requirements or adoption of new requirements could therefore have a material adverse effect on our business, results of operations and financial condition.</w:t>
      </w:r>
    </w:p>
    <w:p>
      <w:pPr>
        <w:spacing w:after="0" w:line="332"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chart below sets forth our corporate structure and identifies our principal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155055" cy="3326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55055"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right="40" w:hanging="424"/>
        <w:spacing w:after="0" w:line="293" w:lineRule="auto"/>
        <w:tabs>
          <w:tab w:leader="none" w:pos="540" w:val="left"/>
        </w:tabs>
        <w:numPr>
          <w:ilvl w:val="0"/>
          <w:numId w:val="33"/>
        </w:numPr>
        <w:rPr>
          <w:rFonts w:ascii="Arial" w:cs="Arial" w:eastAsia="Arial" w:hAnsi="Arial"/>
          <w:sz w:val="13"/>
          <w:szCs w:val="13"/>
          <w:color w:val="auto"/>
        </w:rPr>
      </w:pPr>
      <w:r>
        <w:rPr>
          <w:rFonts w:ascii="Arial" w:cs="Arial" w:eastAsia="Arial" w:hAnsi="Arial"/>
          <w:sz w:val="16"/>
          <w:szCs w:val="16"/>
          <w:color w:val="auto"/>
        </w:rPr>
        <w:t>Shareholders of Burning Rock (Beijing) Biotechnology Co., Ltd., our VIE, include (i) Mr. Yusheng Han, our founder, chairman of the board of directors and chief executive officer, who holds 45.9% of the equity interests in our VIE, (ii) Mr. Xia Nan, an affiliate of Northern Light Venture Capital III, Ltd., who holds 18.1% of the equity interests in our VIE, (iii) Mr. Gang Lu, our director, and Mr. Jin Zhao, our former director, who hold 7.1% and 8.8% of the equity interests in our VIE, respectively, (iv) Growth No. 12 Investment (Shenzhen) Partnership (Limited Partnership), an affiliate of a principal shareholder, which holds 6.0% of the equity interests in our VIE, and (v) seven minority shareholders, who in aggregate hold 14.1% of the equity interests in our VIE, including Dr. Shaokun (Shannon) Chuai, our chief operating officer.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Investment in China by foreign investors is subject to certain restriction under PRC laws and regulations, in particular, the Catalog of Industries for Encouraging Foreign Investment, and the Special Administrative Measures for Access of Foreign Investment (2020 Edition), or the Negative List. Industries not listed in the Negative List are generally permitted and open to foreign investment, unless specifically prohibited or restricted by the PRC laws and regulations. While foreign investors are given access to the medical device industry according to Negative list, foreign ownership is prohibited in businesses involving the development and application of genomic diagnosis and treatment technology. We are a company incorporated in the Cayman Islands, and, as a result, our subsidiaries in China are considered foreign-owned enterprises. To comply with the PRC laws and regulations described above, we primarily conduct our business in China through our VIE and its subsidiaries in China, based on a series of contractual arrangements among the VIE, its shareholders and our WFOE.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 that Allows Us to Receive Economic Benefits from the VIE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Business Cooperation Agreement</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Pursuant to the exclusive business cooperation agreement, as amended and restated on October 21, 2019, which was entered into between the WFOE and the VIE, WFOE or its designated party has the exclusive right to provide the VIE with business support, technology service, consulting service and other services. In exchange for these services, the VIE will pay a service fee, equal to the VIE’s profit before tax, after recovering any accumulated losses of the VIE and its subsidiaries from the preceding fiscal year, and deducting working capital, expenses, tax and a reasonable amount of operating profit according to applicable tax law principles and tax practice. Without the prior written consent of the WFOE, the VIE may not accept any services covered by this agreement from any third party, and may not cooperate with any third party in respect of the same. The WFOE will exclusively own the proprietary rights, ownership, interests and intellectual property rights produced or created in connection with the performance of this agreement. Unless terminated by the WFOE, this agreement will remain effective for ten years. The WFOE may at its sole discretion unilaterally extend the term of this agreement prior to its expiration upon notice to the VIE.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 that Provides Us with Options to Purchase the Equity Interests in and Assets of the VIE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Option Agreement</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Pursuant to the exclusive option agreement, as amended and restated on October 21, 2019, which was entered into among the WFOE, the VIE and its shareholders, the shareholders of the VIE have irrevocably and unconditionally granted the WFOE or its designated party an exclusive option, where permitted by the PRC law, to purchase all or any portion of their respective equity interests in the VIE. The purchase price for any equity interest upon exercise of this option will be calculated as then registered capital of the VIE multiplied by the percentage of such equity interest in proportion to the total equity of the VIE. However, if applicable PRC law contains compulsory requirement regarding transfer of equity interest, the WFOE or any third party designated by the WFOE is entitled to pay the lowest price permitted by the PRC law as purchase price. In addition, pursuant to this agreement, the VIE has irrevocably and unconditionally granted the WFOE or its designated party an exclusive option, where permitted by applicable PRC law, to purchase all or any portion of its assets. The purchase price upon exercise of this option will be the higher of (i) the net book value of the assets to be purchased or (ii) the lowest price permitted by applicable PRC law.</w:t>
      </w:r>
    </w:p>
    <w:p>
      <w:pPr>
        <w:spacing w:after="0" w:line="18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Without the prior written consent of the WFOE, the shareholders of the VIE may not, in any manner, supplement, modify or amend the articles of associations and by-laws of the VIE; increase or reduce its registered capital or change the structure of registered capital in other manners; sell, transfer, pledge or dispose of its assets, legal or beneficial interests in business or revenue or allow any encumbrance on the same; assume, inherit, guarantee any debt, or allow the existence of any debt, except for debts incurred in the ordinary course of business and debts known and agreed in writing by the WFOE; cause the VIE to enter into any material contract outside the ordinary course of business; cause the VIE to provide loans, credits or guarantees in any form to any other persons; cause or permit the VIE to merge, consolidate with, acquire or invest in any other persons, or acquired or invested by any other persons; cause the VIE to liquidate, dissolve or de-registrate; request the VIE to distribute dividends to its shareholders, or propose or vote in favor of any shareholders’ resolution for such distribution of dividends. This agreement will remain effective until all equity interests in the VIE held by its shareholders has been transferred to the WFOE or its designated party in accordance with provisions of this agreement. The WFOE may at its sole discretion unilaterally terminate this agreement prior to its expiration upon notice to the VIE.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that Provide Us with Effective Control over the VIE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Interest Pledge Agreement</w:t>
      </w:r>
    </w:p>
    <w:p>
      <w:pPr>
        <w:spacing w:after="0" w:line="11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Pursuant to the equity interest pledge agreement, as amended and restated on October 21, 2019, which was entered into among WFOE, the VIE and its shareholders, each shareholder of the VIE has pledged all of its respective equity interests in the VIE to the WFOE to guarantee the performance of the VIE and its shareholders of their respective obligations under the exclusive business cooperation agreement, the exclusive option agreement, the agreement for power of attorney as well as their respective liabilities arising from any breach of any obligation thereunder. If the VIE or any of its shareholders breaches any obligation under these agreements, the WFOE, as pledgee, may dispose of the pledged equity interest and have priority to be compensated by the proceeds from the disposal of such equity. Each of the shareholders of the VIE agrees that before its obligations under these agreements are discharged and the amounts payable under these agreements are fully paid, it will not dispose of the pledged equity interest, create or allow any encumbrance on the pledged equity interest without the prior written consent of the WFOE. The equity interest pledge agreement will remain effective until the VIE and its shareholders have discharged all their obligations and fully paid all the amounts payable under these agreements. We completed the registration of the pledge of equity interest with the relevant office of the State Administration for Market Regulation on November 25, 2019 in accordance with applicable PRC law and regulations.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Agreement for Power of Attorney</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Pursuant to the agreement for power of attorney, as amended and restated on October 21, 2019, which was entered into among the WFOE, the VIE and its shareholders, each shareholder of the VIE irrevocably authorizes the WFOE or its designated person to act as the attorney-in-fact to exercise all such shareholder’s voting and other rights associated with the shareholder’s equity interests in the VIE, such as the right to appoint or remove directors, supervisors and officers, as well as the right to sell, transfer, pledge or dispose of all or any portion of the equity interests held by such shareholder, or of the assets held by the VIE. The parties have agreed that the WFOE is entitled to unilaterally amend, modify or supplement this agreement for power of attorney and the other parties will cooperate where there is a request in respect of the same by the WFOE. This agreement for power of attorney will remain effective until it is terminated by the WFOE.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Spousal Consent Letters</w:t>
      </w:r>
    </w:p>
    <w:p>
      <w:pPr>
        <w:spacing w:after="0" w:line="117" w:lineRule="exact"/>
        <w:rPr>
          <w:sz w:val="20"/>
          <w:szCs w:val="20"/>
          <w:color w:val="auto"/>
        </w:rPr>
      </w:pPr>
    </w:p>
    <w:p>
      <w:pPr>
        <w:ind w:left="120" w:right="360" w:firstLine="440"/>
        <w:spacing w:after="0" w:line="291" w:lineRule="auto"/>
        <w:rPr>
          <w:sz w:val="20"/>
          <w:szCs w:val="20"/>
          <w:color w:val="auto"/>
        </w:rPr>
      </w:pPr>
      <w:r>
        <w:rPr>
          <w:rFonts w:ascii="Arial" w:cs="Arial" w:eastAsia="Arial" w:hAnsi="Arial"/>
          <w:sz w:val="16"/>
          <w:szCs w:val="16"/>
          <w:color w:val="auto"/>
        </w:rPr>
        <w:t>The spouses of Yusheng Han, Gang Lu, Zhigang Wu, Dan Zhou, Peijing Si, Dong Yin and Jin Zhao each signed a spousal consent letter on October 21, 2019. Under these letters, each signing spouse has agreed that he or she is aware of the equity interests beneficially owned by his or her spouse in the VIE and the relevant contractual arrangements in connection with such equity interests. Each signing spouse has unconditionally and irrevocably confirmed that he or she does not have any equity interest in the VIE and will not take any action that may interfere with the contractual arrangement including any claims in respect of the equity interests held by his or her spouse. Each signing spouse has further confirmed that in any event he or she is conferred with any equity interest, he or she is willing to be bound by the relevant contractual arrangements unconditionally as if being a party thereof, and undertakes to take all necessary measures for the performance of those arrangements.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Support Undertaking Letter</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Pursuant to the financial support undertaking letter addressed to our VIE, dated October 21, 2019, we undertake to provide unlimited financial support to our VIE to the extent permissible under the applicable PRC laws and regulations, regardless of whether our VIE has incurred an operational loss. The form of financial support includes but is not limited to cash, entrusted loans and borrowings. We will not request repayment of any outstanding loans or borrowings from our VIE if it or its shareholders do not have sufficient funds or are unable to repay such loans or borrowings. The letter is effective until the earlier of (i) the date on which all of the equity interests of our VIE have been acquired by us or our designee, and (ii) the date on which we, in our sole and absolute discretion, unilaterally terminates the applicable financial support undertaking letter.</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Proxy Agreement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voting proxy agreement entered into between our company and our WFOE, dated October 21, 2019, our WFOE irrevocably and unconditionally undertakes to exercise its rights under the agreement for power of attorney, as amended and restated on October 21, 2019, by and among our WFOE, our VIE and its shareholders, in accordance with our company’s instruction.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opinion of Shihui Partners, our PRC counsel:</w:t>
      </w:r>
    </w:p>
    <w:p>
      <w:pPr>
        <w:spacing w:after="0" w:line="131" w:lineRule="exact"/>
        <w:rPr>
          <w:sz w:val="20"/>
          <w:szCs w:val="20"/>
          <w:color w:val="auto"/>
        </w:rPr>
      </w:pPr>
    </w:p>
    <w:p>
      <w:pPr>
        <w:ind w:left="1080" w:right="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ownership structure of our VIE and our WFOE in China currently does not violate any applicable PRC laws or regulations currently in effect; and</w:t>
      </w:r>
    </w:p>
    <w:p>
      <w:pPr>
        <w:spacing w:after="0" w:line="75"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contractual arrangements among our WFOE, VIE and the shareholders of our VIE governed by PRC law are valid, binding and enforceable in accordance with their terms and applicable PRC laws or regulations currently in effect and currently do not and will not violate any applicable PRC laws or regulations currently in effect.</w:t>
      </w:r>
    </w:p>
    <w:p>
      <w:pPr>
        <w:spacing w:after="0" w:line="184"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See “Item 3. Key Information—D. Risk Factors—Risks Relating to Our Corporate Structure—If the PRC government finds that the agreements that establish the structure for operating our businesses in China do not comply with applicable PRC laws and regulations, or if these regulations or their interpretations change, we could be subject to severe penalties or be forced to relinquish our interests in those operations” and “Item</w:t>
      </w:r>
    </w:p>
    <w:p>
      <w:pPr>
        <w:spacing w:after="0" w:line="2" w:lineRule="exact"/>
        <w:rPr>
          <w:sz w:val="20"/>
          <w:szCs w:val="20"/>
          <w:color w:val="auto"/>
        </w:rPr>
      </w:pPr>
    </w:p>
    <w:p>
      <w:pPr>
        <w:ind w:left="120" w:right="60" w:hanging="4"/>
        <w:spacing w:after="0" w:line="260"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Key Information—D. Risk Factors—Risks Relating to Doing Business in the PRC—Uncertainties in the interpretation and enforcement of PRC laws and regulations could limit the legal protections available to you and us.” for more details.</w:t>
      </w:r>
    </w:p>
    <w:p>
      <w:pPr>
        <w:spacing w:after="0" w:line="208"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121"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Our corporate headquarters, central laboratory and manufacturing facilities are located in Guangzhou, China. We also have a research and development center in Shanghai and offices in Beijing. These facilitates have an aggregate of over 13,000 square meters. We currently lease all of our facilities. We believe that we will be able to obtain adequate facilities, principally through leasing, to accommodate our future expansion.</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4A. UNSOLVED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13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aim to transform precision oncology and early cancer detection. We are China’s leading NGS-based cancer therapy selection company. Our cancer therapy selection platform is built upon our advanced proprietary technologies, comprehensive portfolio of products and a two-pronged market-driven commercial infrastructure addressing both larger hospitals through our in-hospital model and smaller hospitals through our central laboratory model.</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primarily offer cancer therapy selection tests under our central laboratory model, where our central laboratory processes cancer patients’ tissue and liquid biopsy samples delivered to us from hospitals across China and issues test reports. In 2018, 2019 and 2020, 15,821, 23,075 and 25,262 patients took our tests, respectively. In 2018, 2019 and 2020, revenue from sale of cancer therapy selection tests under our central laboratory model contributed 77.3%, 72.4% and 69.2% of our total revenues, respectively.</w:t>
      </w:r>
    </w:p>
    <w:p>
      <w:pPr>
        <w:spacing w:after="0" w:line="18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2016, we became China’s first NGS-based cancer therapy selection company to offer an in-hospital model, providing turn-key solutions to address Chinese hospitals’ challenges in adopting NGS-based cancer therapy selection. Under this model, we have partnered with 52 Class III Grade A hospitals to establish in-hospital laboratories, enabling our partner hospitals to perform NGS-based cancer therapy selection on their own using our reagent kits. In 2018, 2019 and 2020, revenue from fees we received for facilitating the hospitals’ purchases of laboratory equipment and sales of reagent kits under the in-hospital model contributed 15.9%, 23.0% and 27.4% of our total revenues, respectively.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also generate a small portion of revenue from pharma research and development services we provide to pharmaceutical companies and hospitals, which contributed 6.8%, 4.6% and 3.4% of our total revenues in 2018, 2019 and 2020, respectively.</w:t>
      </w:r>
    </w:p>
    <w:p>
      <w:pPr>
        <w:spacing w:after="0" w:line="170"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We have achieved rapid growth since commercializing our first cancer therapy selection test in 2014. Our revenue increased by 82.7% from RMB208.9 million in 2018 to RMB381.7 million in 2019, and further increased by 12.6% to RMB429.9 million (US$65.9 million) in 2020. Our gross profit increased by 102.4% from RMB135.1 million in 2018 to RMB273.3 million in 2019, and further increased by 14.8% to RMB313.9 million (US$48.1 million) in 2020. Our gross profit margin was 64.7%, 71.6% and 73.0% in 2018, 2019 and 2020, respectively. We incurred net loss of RMB177.5 million, RMB169.2 million and RMB407.2 million (US$62.4 million) in 2018, 2019 and 2020, respectively.</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operating performance and results of operations, including:</w:t>
      </w:r>
    </w:p>
    <w:p>
      <w:pPr>
        <w:spacing w:after="0" w:line="76"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adoption of our cancer therapy selection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testing volume and hospital coverage under our central laboratory model;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success of our in-hospital model;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successfully develop early cancer detection products.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 Adoption of Our Cancer Therapy Selection Products and Services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currently derive substantially all of our revenues from the sale of our therapy selection tests. We expect our continued growth and business prospects to depend significantly on our ability to increase market adoption of our cancer therapy selection tests, as well as our ability to increase physician and patient awareness of cancer therapy selection in China in general. Although China’s cancer genotyping industry is expected to continue to grow rapidly, cancer therapy selection companies like us face challenges in raising awareness and adoption of their products and services by physicians, patients, hospitals and others in China’s medical community. Among these challenges are that cancer therapy selection tests can be prohibitively expensive and the interpretation of testing results can be time consuming and require knowledge and skills that are not yet widely available in China. We have approached these challenges by building and continually advancing a robust technology platform that we believe will allow us to address many of these challenges.</w:t>
      </w:r>
    </w:p>
    <w:p>
      <w:pPr>
        <w:spacing w:after="0" w:line="192"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To increase the market awareness and adoption of our cancer therapy selection tests, we conduct marketing activities to educate hospitals, physicians and pharmaceutical companies on the benefits of our cancer therapy selection products and services. We also participate in research studies and clinical trials in cooperation with oncology key opinion leaders and pharmaceutical companies that validate our cancer therapy selection tests and technologies.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Testing Volume and Hospital Coverage under Our Central Laboratory Model</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revenue and results of operations are primarily dependent on testing volume and hospital coverage under our central laboratory model. In 2018, 2019 and 2020, revenue from sale of cancer therapy selection tests under our central laboratory model contributed 77.3%, 72.4% and 69.2% of our total revenues, respectively. We expect the central laboratory model to continue to contribute a significant portion of our revenue going forward. As such, our results of operations are affected, and will continue to be affected, by the volume of testing and hospital coverage under our central laboratory model. In 2018, 2019 and 2020, 15,821, 23,075 and 25,262 patients took our tests, respectively. To generate sufficient volumes of demand for our central laboratory business, we will need to maintain and continue to develop relationships with hospitals and physicians. We may need to hire additional sales and marketing staff to support our growth.</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Success of Our In-hospital Model</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Since 2016, we have been actively expanding our cancer therapy selection business under the in-hospital model, where we offer Chinese hospitals a turn-key solution that allows them to perform cancer therapy selection tests using our products in in-hospital laboratories that we help them establish.</w:t>
      </w:r>
    </w:p>
    <w:p>
      <w:pPr>
        <w:spacing w:after="0" w:line="124"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The in-hospital segment is expected to become an increasingly important segment of China’s NGS-based cancer therapy selection market. Although there are substantial challenges in getting hospitals to adopt the in-hospital model, once the in-hospital laboratories, equipment and systems are in place, we sell them our reagent kits on a recurring basis, creating high barrier to entry and high customer loyalty.</w:t>
      </w:r>
    </w:p>
    <w:p>
      <w:pPr>
        <w:spacing w:after="0" w:line="149"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Despite the large and rapidly growing demand and higher customer loyalty, establishing in-hospital laboratories usually involves long ramp-up periods—from laboratory design, tender, laboratory equipment sourcing and system installation to ongoing training and support. Accordingly, our in-hospital model requires significant upfront investment, which in turn may affect our short-term results of operations. In addition, revenue from this model depends on our partner hospitals’ clinical needs and budgets for cancer therapy selection products and services, which are beyond our control.</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Ability to Successfully Develop Early Cancer Detection Products</w:t>
      </w:r>
    </w:p>
    <w:p>
      <w:pPr>
        <w:spacing w:after="0" w:line="117" w:lineRule="exact"/>
        <w:rPr>
          <w:sz w:val="20"/>
          <w:szCs w:val="20"/>
          <w:color w:val="auto"/>
        </w:rPr>
      </w:pPr>
    </w:p>
    <w:p>
      <w:pPr>
        <w:ind w:left="120" w:right="500" w:firstLine="440"/>
        <w:spacing w:after="0" w:line="311" w:lineRule="auto"/>
        <w:rPr>
          <w:sz w:val="20"/>
          <w:szCs w:val="20"/>
          <w:color w:val="auto"/>
        </w:rPr>
      </w:pPr>
      <w:r>
        <w:rPr>
          <w:rFonts w:ascii="Arial" w:cs="Arial" w:eastAsia="Arial" w:hAnsi="Arial"/>
          <w:sz w:val="16"/>
          <w:szCs w:val="16"/>
          <w:color w:val="auto"/>
        </w:rPr>
        <w:t>Investing in the research and development of new products is critical to our long-term competitiveness. In 2016, we started our research and development on the use of targeted DNA methylation in early cancer detection. Developing early cancer detection product candidates requires a significant investment of resources over a prolonged period of time, and we expect to continue to make sustained investment in this area.</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Our revenues consist of revenues from services and revenues from sales of products, and are derived from three sources: (i) central laboratory business; (ii) in-hospital business; and (iii) pharma research and development services. The table below sets forth a breakdown of our revenues in absolute amount and as a percentage of our total revenues for the periods indicated: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center"/>
              <w:ind w:right="820"/>
              <w:spacing w:after="0"/>
              <w:rPr>
                <w:sz w:val="20"/>
                <w:szCs w:val="20"/>
                <w:color w:val="auto"/>
              </w:rPr>
            </w:pPr>
            <w:r>
              <w:rPr>
                <w:rFonts w:ascii="Arial" w:cs="Arial" w:eastAsia="Arial" w:hAnsi="Arial"/>
                <w:sz w:val="14"/>
                <w:szCs w:val="14"/>
                <w:b w:val="1"/>
                <w:bCs w:val="1"/>
                <w:color w:val="auto"/>
                <w:w w:val="91"/>
              </w:rPr>
              <w:t>Year ended December 31, 2018</w:t>
            </w: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7"/>
          </w:tcPr>
          <w:p>
            <w:pPr>
              <w:ind w:left="140"/>
              <w:spacing w:after="0" w:line="119" w:lineRule="exact"/>
              <w:rPr>
                <w:sz w:val="20"/>
                <w:szCs w:val="20"/>
                <w:color w:val="auto"/>
              </w:rPr>
            </w:pPr>
            <w:r>
              <w:rPr>
                <w:rFonts w:ascii="Arial" w:cs="Arial" w:eastAsia="Arial" w:hAnsi="Arial"/>
                <w:sz w:val="13"/>
                <w:szCs w:val="13"/>
                <w:b w:val="1"/>
                <w:bCs w:val="1"/>
                <w:color w:val="auto"/>
              </w:rPr>
              <w:t>Central laboratory</w:t>
            </w:r>
          </w:p>
        </w:tc>
        <w:tc>
          <w:tcPr>
            <w:tcW w:w="100" w:type="dxa"/>
            <w:vAlign w:val="bottom"/>
          </w:tcPr>
          <w:p>
            <w:pPr>
              <w:spacing w:after="0"/>
              <w:rPr>
                <w:sz w:val="10"/>
                <w:szCs w:val="10"/>
                <w:color w:val="auto"/>
              </w:rPr>
            </w:pPr>
          </w:p>
        </w:tc>
        <w:tc>
          <w:tcPr>
            <w:tcW w:w="1600" w:type="dxa"/>
            <w:vAlign w:val="bottom"/>
            <w:gridSpan w:val="5"/>
            <w:vMerge w:val="restart"/>
          </w:tcPr>
          <w:p>
            <w:pPr>
              <w:jc w:val="right"/>
              <w:ind w:right="320"/>
              <w:spacing w:after="0"/>
              <w:rPr>
                <w:sz w:val="20"/>
                <w:szCs w:val="20"/>
                <w:color w:val="auto"/>
              </w:rPr>
            </w:pPr>
            <w:r>
              <w:rPr>
                <w:rFonts w:ascii="Arial" w:cs="Arial" w:eastAsia="Arial" w:hAnsi="Arial"/>
                <w:sz w:val="14"/>
                <w:szCs w:val="14"/>
                <w:b w:val="1"/>
                <w:bCs w:val="1"/>
                <w:color w:val="auto"/>
                <w:w w:val="93"/>
              </w:rPr>
              <w:t>In-hospital business</w:t>
            </w:r>
          </w:p>
        </w:tc>
        <w:tc>
          <w:tcPr>
            <w:tcW w:w="166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Pharma research and</w:t>
            </w:r>
          </w:p>
        </w:tc>
        <w:tc>
          <w:tcPr>
            <w:tcW w:w="150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Total revenues</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7"/>
          </w:tcPr>
          <w:p>
            <w:pPr>
              <w:ind w:left="460"/>
              <w:spacing w:after="0"/>
              <w:rPr>
                <w:sz w:val="20"/>
                <w:szCs w:val="20"/>
                <w:color w:val="auto"/>
              </w:rPr>
            </w:pPr>
            <w:r>
              <w:rPr>
                <w:rFonts w:ascii="Arial" w:cs="Arial" w:eastAsia="Arial" w:hAnsi="Arial"/>
                <w:sz w:val="14"/>
                <w:szCs w:val="14"/>
                <w:b w:val="1"/>
                <w:bCs w:val="1"/>
                <w:color w:val="auto"/>
              </w:rPr>
              <w:t>business</w:t>
            </w:r>
          </w:p>
        </w:tc>
        <w:tc>
          <w:tcPr>
            <w:tcW w:w="10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1660" w:type="dxa"/>
            <w:vAlign w:val="bottom"/>
            <w:gridSpan w:val="4"/>
          </w:tcPr>
          <w:p>
            <w:pPr>
              <w:ind w:left="60"/>
              <w:spacing w:after="0"/>
              <w:rPr>
                <w:sz w:val="20"/>
                <w:szCs w:val="20"/>
                <w:color w:val="auto"/>
              </w:rPr>
            </w:pPr>
            <w:r>
              <w:rPr>
                <w:rFonts w:ascii="Arial" w:cs="Arial" w:eastAsia="Arial" w:hAnsi="Arial"/>
                <w:sz w:val="14"/>
                <w:szCs w:val="14"/>
                <w:b w:val="1"/>
                <w:bCs w:val="1"/>
                <w:color w:val="auto"/>
              </w:rPr>
              <w:t>development services</w:t>
            </w:r>
          </w:p>
        </w:tc>
        <w:tc>
          <w:tcPr>
            <w:tcW w:w="15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total</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total</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total</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ind w:left="14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revenues</w:t>
            </w:r>
          </w:p>
        </w:tc>
        <w:tc>
          <w:tcPr>
            <w:tcW w:w="100" w:type="dxa"/>
            <w:vAlign w:val="bottom"/>
          </w:tcPr>
          <w:p>
            <w:pPr>
              <w:spacing w:after="0"/>
              <w:rPr>
                <w:sz w:val="14"/>
                <w:szCs w:val="14"/>
                <w:color w:val="auto"/>
              </w:rPr>
            </w:pPr>
          </w:p>
        </w:tc>
        <w:tc>
          <w:tcPr>
            <w:tcW w:w="5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RMB</w:t>
            </w: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(in thousands, except for%)</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161,458</w:t>
            </w: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77.3</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14,223</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180,187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Revenues from sales of products</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28,680</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28,680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161,458</w:t>
            </w: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77.3</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33,186</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15.9</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14,223</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208,867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 ended December 31, 2019</w:t>
            </w: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7"/>
          </w:tcPr>
          <w:p>
            <w:pPr>
              <w:ind w:left="20"/>
              <w:spacing w:after="0" w:line="119" w:lineRule="exact"/>
              <w:rPr>
                <w:sz w:val="20"/>
                <w:szCs w:val="20"/>
                <w:color w:val="auto"/>
              </w:rPr>
            </w:pPr>
            <w:r>
              <w:rPr>
                <w:rFonts w:ascii="Arial" w:cs="Arial" w:eastAsia="Arial" w:hAnsi="Arial"/>
                <w:sz w:val="13"/>
                <w:szCs w:val="13"/>
                <w:b w:val="1"/>
                <w:bCs w:val="1"/>
                <w:color w:val="auto"/>
              </w:rPr>
              <w:t>Central laboratory</w:t>
            </w:r>
          </w:p>
        </w:tc>
        <w:tc>
          <w:tcPr>
            <w:tcW w:w="1700" w:type="dxa"/>
            <w:vAlign w:val="bottom"/>
            <w:gridSpan w:val="6"/>
            <w:vMerge w:val="restart"/>
          </w:tcPr>
          <w:p>
            <w:pPr>
              <w:jc w:val="right"/>
              <w:ind w:right="400"/>
              <w:spacing w:after="0"/>
              <w:rPr>
                <w:sz w:val="20"/>
                <w:szCs w:val="20"/>
                <w:color w:val="auto"/>
              </w:rPr>
            </w:pPr>
            <w:r>
              <w:rPr>
                <w:rFonts w:ascii="Arial" w:cs="Arial" w:eastAsia="Arial" w:hAnsi="Arial"/>
                <w:sz w:val="14"/>
                <w:szCs w:val="14"/>
                <w:b w:val="1"/>
                <w:bCs w:val="1"/>
                <w:color w:val="auto"/>
                <w:w w:val="94"/>
              </w:rPr>
              <w:t>In-hospital business</w:t>
            </w:r>
          </w:p>
        </w:tc>
        <w:tc>
          <w:tcPr>
            <w:tcW w:w="166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Pharma research and</w:t>
            </w:r>
          </w:p>
        </w:tc>
        <w:tc>
          <w:tcPr>
            <w:tcW w:w="150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Total revenues</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7"/>
          </w:tcPr>
          <w:p>
            <w:pPr>
              <w:ind w:left="360"/>
              <w:spacing w:after="0"/>
              <w:rPr>
                <w:sz w:val="20"/>
                <w:szCs w:val="20"/>
                <w:color w:val="auto"/>
              </w:rPr>
            </w:pPr>
            <w:r>
              <w:rPr>
                <w:rFonts w:ascii="Arial" w:cs="Arial" w:eastAsia="Arial" w:hAnsi="Arial"/>
                <w:sz w:val="14"/>
                <w:szCs w:val="14"/>
                <w:b w:val="1"/>
                <w:bCs w:val="1"/>
                <w:color w:val="auto"/>
              </w:rPr>
              <w:t>business</w:t>
            </w:r>
          </w:p>
        </w:tc>
        <w:tc>
          <w:tcPr>
            <w:tcW w:w="1700" w:type="dxa"/>
            <w:vAlign w:val="bottom"/>
            <w:gridSpan w:val="6"/>
            <w:vMerge w:val="continue"/>
          </w:tcPr>
          <w:p>
            <w:pPr>
              <w:spacing w:after="0"/>
              <w:rPr>
                <w:sz w:val="14"/>
                <w:szCs w:val="14"/>
                <w:color w:val="auto"/>
              </w:rPr>
            </w:pPr>
          </w:p>
        </w:tc>
        <w:tc>
          <w:tcPr>
            <w:tcW w:w="1660" w:type="dxa"/>
            <w:vAlign w:val="bottom"/>
            <w:gridSpan w:val="4"/>
          </w:tcPr>
          <w:p>
            <w:pPr>
              <w:ind w:left="60"/>
              <w:spacing w:after="0"/>
              <w:rPr>
                <w:sz w:val="20"/>
                <w:szCs w:val="20"/>
                <w:color w:val="auto"/>
              </w:rPr>
            </w:pPr>
            <w:r>
              <w:rPr>
                <w:rFonts w:ascii="Arial" w:cs="Arial" w:eastAsia="Arial" w:hAnsi="Arial"/>
                <w:sz w:val="14"/>
                <w:szCs w:val="14"/>
                <w:b w:val="1"/>
                <w:bCs w:val="1"/>
                <w:color w:val="auto"/>
              </w:rPr>
              <w:t>development services</w:t>
            </w:r>
          </w:p>
        </w:tc>
        <w:tc>
          <w:tcPr>
            <w:tcW w:w="15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center"/>
              <w:ind w:right="24"/>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gridSpan w:val="2"/>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ind w:right="7"/>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total</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total</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total</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RMB</w:t>
            </w:r>
          </w:p>
        </w:tc>
        <w:tc>
          <w:tcPr>
            <w:tcW w:w="8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4"/>
                <w:szCs w:val="14"/>
                <w:color w:val="auto"/>
              </w:rPr>
            </w:pPr>
          </w:p>
        </w:tc>
        <w:tc>
          <w:tcPr>
            <w:tcW w:w="5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8"/>
              </w:rPr>
              <w:t>revenues</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RMB</w:t>
            </w: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(in thousands, except for%)</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276,254</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left="33"/>
              <w:spacing w:after="0"/>
              <w:rPr>
                <w:sz w:val="20"/>
                <w:szCs w:val="20"/>
                <w:color w:val="auto"/>
              </w:rPr>
            </w:pPr>
            <w:r>
              <w:rPr>
                <w:rFonts w:ascii="Arial" w:cs="Arial" w:eastAsia="Arial" w:hAnsi="Arial"/>
                <w:sz w:val="18"/>
                <w:szCs w:val="18"/>
                <w:color w:val="auto"/>
                <w:w w:val="85"/>
              </w:rPr>
              <w:t>72.4</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17,745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292,523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Revenues from sales of products</w:t>
            </w:r>
          </w:p>
        </w:tc>
        <w:tc>
          <w:tcPr>
            <w:tcW w:w="1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center"/>
              <w:ind w:left="24"/>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8"/>
                <w:szCs w:val="18"/>
                <w:color w:val="auto"/>
              </w:rPr>
            </w:pPr>
          </w:p>
        </w:tc>
        <w:tc>
          <w:tcPr>
            <w:tcW w:w="660" w:type="dxa"/>
            <w:vAlign w:val="bottom"/>
            <w:gridSpan w:val="3"/>
          </w:tcPr>
          <w:p>
            <w:pPr>
              <w:jc w:val="right"/>
              <w:ind w:right="48"/>
              <w:spacing w:after="0"/>
              <w:rPr>
                <w:sz w:val="20"/>
                <w:szCs w:val="20"/>
                <w:color w:val="auto"/>
              </w:rPr>
            </w:pPr>
            <w:r>
              <w:rPr>
                <w:rFonts w:ascii="Arial" w:cs="Arial" w:eastAsia="Arial" w:hAnsi="Arial"/>
                <w:sz w:val="18"/>
                <w:szCs w:val="18"/>
                <w:color w:val="auto"/>
                <w:w w:val="94"/>
              </w:rPr>
              <w:t>89,154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3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89,154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276,254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left="33"/>
              <w:spacing w:after="0"/>
              <w:rPr>
                <w:sz w:val="20"/>
                <w:szCs w:val="20"/>
                <w:color w:val="auto"/>
              </w:rPr>
            </w:pPr>
            <w:r>
              <w:rPr>
                <w:rFonts w:ascii="Arial" w:cs="Arial" w:eastAsia="Arial" w:hAnsi="Arial"/>
                <w:sz w:val="18"/>
                <w:szCs w:val="18"/>
                <w:b w:val="1"/>
                <w:bCs w:val="1"/>
                <w:color w:val="auto"/>
                <w:w w:val="85"/>
              </w:rPr>
              <w:t>72.4</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w w:val="94"/>
              </w:rPr>
              <w:t>87,678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17,745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381,677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224"/>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 2020</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24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Central laboratory business</w:t>
            </w:r>
          </w:p>
        </w:tc>
        <w:tc>
          <w:tcPr>
            <w:tcW w:w="230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In-hospital business</w:t>
            </w:r>
          </w:p>
        </w:tc>
        <w:tc>
          <w:tcPr>
            <w:tcW w:w="2060" w:type="dxa"/>
            <w:vAlign w:val="bottom"/>
            <w:gridSpan w:val="6"/>
          </w:tcPr>
          <w:p>
            <w:pPr>
              <w:ind w:left="300"/>
              <w:spacing w:after="0" w:line="119" w:lineRule="exact"/>
              <w:rPr>
                <w:sz w:val="20"/>
                <w:szCs w:val="20"/>
                <w:color w:val="auto"/>
              </w:rPr>
            </w:pPr>
            <w:r>
              <w:rPr>
                <w:rFonts w:ascii="Arial" w:cs="Arial" w:eastAsia="Arial" w:hAnsi="Arial"/>
                <w:sz w:val="13"/>
                <w:szCs w:val="13"/>
                <w:b w:val="1"/>
                <w:bCs w:val="1"/>
                <w:color w:val="auto"/>
              </w:rPr>
              <w:t>Pharma research and</w:t>
            </w:r>
          </w:p>
        </w:tc>
        <w:tc>
          <w:tcPr>
            <w:tcW w:w="152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Total revenues</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240" w:type="dxa"/>
            <w:vAlign w:val="bottom"/>
            <w:gridSpan w:val="6"/>
            <w:vMerge w:val="continue"/>
          </w:tcPr>
          <w:p>
            <w:pPr>
              <w:spacing w:after="0"/>
              <w:rPr>
                <w:sz w:val="14"/>
                <w:szCs w:val="14"/>
                <w:color w:val="auto"/>
              </w:rPr>
            </w:pPr>
          </w:p>
        </w:tc>
        <w:tc>
          <w:tcPr>
            <w:tcW w:w="2300" w:type="dxa"/>
            <w:vAlign w:val="bottom"/>
            <w:gridSpan w:val="6"/>
            <w:vMerge w:val="continue"/>
          </w:tcPr>
          <w:p>
            <w:pPr>
              <w:spacing w:after="0"/>
              <w:rPr>
                <w:sz w:val="14"/>
                <w:szCs w:val="14"/>
                <w:color w:val="auto"/>
              </w:rPr>
            </w:pPr>
          </w:p>
        </w:tc>
        <w:tc>
          <w:tcPr>
            <w:tcW w:w="2060" w:type="dxa"/>
            <w:vAlign w:val="bottom"/>
            <w:gridSpan w:val="6"/>
          </w:tcPr>
          <w:p>
            <w:pPr>
              <w:ind w:left="300"/>
              <w:spacing w:after="0"/>
              <w:rPr>
                <w:sz w:val="20"/>
                <w:szCs w:val="20"/>
                <w:color w:val="auto"/>
              </w:rPr>
            </w:pPr>
            <w:r>
              <w:rPr>
                <w:rFonts w:ascii="Arial" w:cs="Arial" w:eastAsia="Arial" w:hAnsi="Arial"/>
                <w:sz w:val="14"/>
                <w:szCs w:val="14"/>
                <w:b w:val="1"/>
                <w:bCs w:val="1"/>
                <w:color w:val="auto"/>
              </w:rPr>
              <w:t>development services</w:t>
            </w:r>
          </w:p>
        </w:tc>
        <w:tc>
          <w:tcPr>
            <w:tcW w:w="152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140"/>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140"/>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RMB</w:t>
            </w: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US$</w:t>
            </w:r>
          </w:p>
        </w:tc>
        <w:tc>
          <w:tcPr>
            <w:tcW w:w="7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RMB</w:t>
            </w: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US$</w:t>
            </w: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total</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RMB</w:t>
            </w: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US$</w:t>
            </w:r>
          </w:p>
        </w:tc>
        <w:tc>
          <w:tcPr>
            <w:tcW w:w="7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RMB</w:t>
            </w: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US$</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revenues</w:t>
            </w:r>
          </w:p>
        </w:tc>
        <w:tc>
          <w:tcPr>
            <w:tcW w:w="8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revenues</w:t>
            </w:r>
          </w:p>
        </w:tc>
        <w:tc>
          <w:tcPr>
            <w:tcW w:w="76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revenues</w:t>
            </w:r>
          </w:p>
        </w:tc>
        <w:tc>
          <w:tcPr>
            <w:tcW w:w="8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(in thousands, except for %)</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297,342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45,570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14,689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2,251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311,184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47,691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Revenues from sales of</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products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118,719</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18,194</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118,719</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18,194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297,342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45,570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69.2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5"/>
              </w:rPr>
              <w:t>117,872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18,064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27.4</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14,689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8"/>
              </w:rPr>
              <w:t>2,251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429,903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65,885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Central laboratory business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Central laboratory business revenue is generated from sales of our cancer therapy selection tests to individual patients. Patients pay us for these tests with out-of-pocket payments after their physicians have ordered our tests. We recognize revenue upon the delivery of test reports to the individual patients.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In-hospital business</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Under our in-hospital business, we (i) in some instances facilitate the hospitals’ procurement of laboratory equipment required to set up their in-hospital laboratories, for which we charge a fee, and (ii) sell our reagent kits to hospitals for them to perform cancer therapy selection testing in the in-hospital laboratories we helped them establish. Revenues from fees we receive for facilitating laboratory equipment purchases are recorded on a net basis when we have completed our facilitation services. Revenues from reagent kit sales are recorded on a gross basis when the reagent kits are delivered to hospitals.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Pharma research and development services</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We provide pharmaceutical research and development services to international and domestic pharmaceutical companies primarily in relation to the development of targeted therapies and immunotherapies for various types of cancer, and to hospitals for their studies on cancer diagnosis and treatment.</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cost of revenues consists of cost of services and cost of goods sold and are incurred from three sources: (i) the cost of revenues for our central laboratory business, which primarily includes cost of laboratory consumables used in cancer therapy selection testing, the manufacturing cost of our reagent kits, personnel cost and depreciation and amortization, (ii) the cost of revenues for our in-hospital business, which primarily includes the cost of materials, manufacturing costs of our reagent kits and personnel cost, and (iii) the cost of revenues for pharma research and development services, which primarily includes costs of laboratory consumables used in pharma research and development services. The following table sets forth a breakdown of our cost of revenues for the periods indicated.</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8"/>
              </w:rPr>
              <w:t>Year ended December 31,</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54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00" w:type="dxa"/>
            <w:vAlign w:val="bottom"/>
            <w:gridSpan w:val="2"/>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9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jc w:val="right"/>
              <w:ind w:right="91"/>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RMB</w:t>
            </w:r>
          </w:p>
        </w:tc>
        <w:tc>
          <w:tcPr>
            <w:tcW w:w="56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Central laboratory business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56,241</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73,689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73,960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In-hospital business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13,120</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29,506</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35,849</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Pharma research and development services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4,447</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5,148</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6,172</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73,808</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108,343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115,981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operating expenses include research and development expenses, selling and marketing expenses and general and administrative expenses. The following table sets forth a breakdown of these expenses for the periods indicated.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7"/>
              </w:rPr>
              <w:t>Year ended December 31,</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66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94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6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RMB</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RMB</w:t>
            </w:r>
          </w:p>
        </w:tc>
        <w:tc>
          <w:tcPr>
            <w:tcW w:w="26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RMB</w:t>
            </w:r>
          </w:p>
        </w:tc>
        <w:tc>
          <w:tcPr>
            <w:tcW w:w="60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105,299</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156,935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263,940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102,857</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153,334</w:t>
            </w: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168,587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88,299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132,157</w:t>
            </w:r>
          </w:p>
        </w:tc>
        <w:tc>
          <w:tcPr>
            <w:tcW w:w="2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293,800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296,455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442,426</w:t>
            </w: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726,327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111,315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research and development expenses primarily consist of staff costs for personnel engaged in research and development functions, and the cost of materials in relation to our pharma research and development services and the research and development of our products. We expect that our research and development expenses will increase as we continue to invest in the research and development of our early cancer detection and cancer therapy selection products and technologies.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Selling and Marketing Expenses</w:t>
      </w:r>
    </w:p>
    <w:p>
      <w:pPr>
        <w:spacing w:after="0" w:line="11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Our selling and marketing expenses primarily consist of staff costs for personnel engaged in sales and marketing functions, travel and entertainment expenses and conference expenses. Base salary of our sales and marketing personnel represents a very significant portion of staff costs, with the remainder being performance-based bonuses for these personnel. We expect that our selling and marketing expenses will increase as we continue to expand our sales and marketing teams and engage in sales and marketing activities to increase the adoption and market awareness of our products.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general and administrative expenses primarily consist of staff costs for personnel engaged in general and administrative functions, professional service fees, depreciation and amortization and travel and office expenses. We expect our general and administrative expenses to continue increasing to support our business growth, but we expect that they will eventually decrease as a percentage of our revenues as we achieve increased economies of scale.</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are an exempted company incorporated in the Cayman Islands. The Cayman Islands currently levies no taxes on individuals or corporations based upon profits, income, gains or appreciation, and there is currently no estate duty, inheritance tax or gift tax. There are no other taxes likely to be material to us levied by the government of the Cayman Islands except for stamp duties that may be applicable on instruments executed in, or after execution brought within, the jurisdiction of the Cayman Islands. In addition, the Cayman Islands does not impose withholding tax on dividend payments.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Before April 1, 2018, our subsidiary incorporated in Hong Kong was subject to Hong Kong profit tax at a rate of 16.5%. Since April 1, 2018, our subsidiary incorporated in Hong Kong has been subject to Hong Kong profit tax at a rate of 8.25% on assessable profits up to HK$2,000,000 and 16.5% on any part of assessable profits over HK$2,000,000. Hong Kong has an anti-fragmentation measure under which a corporate group must nominate only one company in the group to benefit from the progressive rates. No Hong Kong profit tax has been levied on us as we did not have assessable profit that was earned in or derived from our Hong Kong subsidiary in 2018, 2019 or 2020. Hong Kong does not impose a withholding tax on dividends.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For our operations in the PRC, we are subject to a general PRC enterprise income tax rate of 25%. Guangzhou Burning Rock Dx Co., Ltd., a subsidiary of our VIE, has been qualified as a high and new technology enterprise, or HNTE, since November 2016, and accordingly is entitled to a reduced income tax rate of 15%.</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Dividends paid by our wholly foreign-owned subsidiaries in China to our intermediary holding company in Hong Kong will be subject to a withholding tax rate of 10%, unless they qualify for an exemption. If our intermediary holding company in Hong Kong satisfies all the requirements under the Arrangement between the Mainland of China and the Hong Kong Special Administrative Region for the Avoidance of Double Taxation and the Prevention of Fiscal Evasion with Respect to Taxes on Income and receives approval from the relevant tax authority, then dividends paid to it by our wholly foreign-owned subsidiaries in China will be subject to a withholding tax rate of 5% instead. Effective from November 1, 2015, the above-mentioned approval requirement has been abolished, but a Hong Kong entity is still required to file an application package with the relevant tax authority, and settle the overdue taxes if the preferential 5% tax rate is denied based on the subsequent review of the application package by the relevant tax authority.</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our holding company in the Cayman Islands or any of our subsidiaries outside of China is deemed to be a “resident enterprise” under the PRC Enterprise Income Tax Law, it will be subject to enterprise income tax on its worldwide income at a rate of 25%.</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Pursuant to applicable PRC laws and regulations, arrangements and transactions among related parties may be subject to audit or challenge by the PRC tax authorities. We may be subject to adverse tax consequences and our consolidated results of operations may be adversely affected if the PRC tax authorities determine that the contractual arrangements among our PRC subsidiaries and their shareholders are not on an arm’s length basis and constitute favorable transfer pricing.</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Critical Accounting Polices, Judgments and Estimates</w:t>
      </w:r>
    </w:p>
    <w:p>
      <w:pPr>
        <w:spacing w:after="0" w:line="121"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spacing w:after="0" w:line="165"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We prepare our consolidated financial statements in accordance with U.S. GAAP. The preparation of financial statements in conformity with U.S. GAAP requires management to make estimates and assumptions that affect the reported amounts of assets and liabilities, disclosure of contingent assets and liabilities at the balance sheet dates and the reported amounts of revenues and expenses during the reporting periods.</w:t>
      </w:r>
    </w:p>
    <w:p>
      <w:pPr>
        <w:spacing w:after="0" w:line="165"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We base our estimates on historical experience and various other assumptions that are believed to be reasonable, the results of which form the basis for making judgments about the carrying values of assets and liabilities. Actual results could materially differ from those estimates.</w:t>
      </w:r>
    </w:p>
    <w:p>
      <w:pPr>
        <w:spacing w:after="0" w:line="124"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following descriptions of critical accounting policies, judgments and estimates should be read in conjunction with our consolidated financial statements and accompanying notes and other disclosures included in this annual report. When reviewing our financial statements, you should consider</w:t>
      </w:r>
    </w:p>
    <w:p>
      <w:pPr>
        <w:ind w:left="120" w:right="720" w:hanging="4"/>
        <w:spacing w:after="0" w:line="260"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selection of critical accounting policies, (ii) the judgments and other uncertainties affecting the application of these policies and (iii) the sensitivity of reported results to changes in conditions and assumptions.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Consolidation of VIE</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exercise control over the VIE and its subsidiaries and have the ability and obligation to absorb substantially all of the profit or losses through contractual arrangements. We consider that we control the VIE and its subsidiaries notwithstanding the fact that we do not hold direct equity interests in it, as we have power over the financial and operating policies of the VIE and its subsidiaries and absorb substantially all the profit or losses from the business activities of the VIE and its subsidiaries through contractual arrangements. Accordingly, all of the VIE and its subsidiaries are accounted for as controlled structured entities and their financial statements have also been consolidated by us.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 xml:space="preserve">In accordance with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our chief operating decision maker, or the CODM, has been identified as our chief executive officer. Our CODM evaluates segment performance based on revenues and gross profit by the operating segments of central laboratory business, in-hospital business and pharma research and development services. No geographical segments are presented because substantially all of our long-lived assets are located in the PRC and substantially all of our revenues are derived from within the PRC.</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derive revenue from our central laboratory business, in-hospital business and pharma research and development services. We recognize revenue to depict the transfer of promised products or services to customers in an amount that reflects the consideration to which the entity expects to be entitled in exchange for those products or services. The impact of adopting the new revenue standard was not material to our consolidated financial statements.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from central laboratory business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Revenue from central laboratory business is primarily generated through the sales of our cancer therapy selection test to individual patients.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Individual patients prepay the consideration in full, and the transaction price for each contract is fixed at contract inception.</w:t>
      </w:r>
    </w:p>
    <w:p>
      <w:pPr>
        <w:spacing w:after="0" w:line="21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Patients can choose to purchase a single cancer therapy selection test or a package which consists of multiple cancer therapy selection tests of the same type or a combination of different types of cancer therapy selection tests. Each cancer therapy selection test represents a single performance obligation. Revenue is allocated to each performance obligation based on the relative standalone selling price method. We record revenue at a point in time when each cancer therapy selection test report is delivered to the patient.</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launched cancer therapy selection testing packages (“Monitoring Packages”) in 2017. Each monitoring package contains a fixed number of the same type cancer therapy selection tests which can be used up to two years from purchase date. Based on historical usage rates, a portion of the cancer therapy selection tests within the Monitoring Packages are not expected to be used by the patient prior to expiration, referred to as a “breakage.” We recognize the expected breakage amount as revenue in proportion to the total number of tests expected to be performed for patients prior to the expiration date. If we are not expected to be entitled to a breakage amount due to the lack of historical experience, the expected breakage amount is recognized as revenue at the end of two year period when the monitoring package expires. We evaluate our breakage estimates periodically based upon our historical experience with each type of Monitoring Packages and other factors, such as recent usage pattern prior to the expiration period. The historical usage rates may not be reflective of the actual usage rates due to changes in patient behavior and medical advancements. The determination of whether we have accumulated sufficient historical experience to determine breakage amount and changes in the actual patients’ usage rates may significantly impact the amount of breakage revenue recognized for the period.</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from in-hospital business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Revenue from in-hospital business is primarily generated through the sales of reagent kit sales and providing facilitation services for laboratory equipment sold to hospitals. For the sale of reagent kits, we manufacture reagent kits and sell to the hospitals when the hospitals submit a purchase order. Each reagent kit represents a single performance obligation. We do not provide rights of return for the reagent kits sold other than returns of defective products. Returns for defective products were not material for the periods presented. Revenue is allocated to each performance obligation based on a relative standalone selling price basis using the expected cost plus a margin method. We record revenue on the sales of reagent kits at a point in time when the reagent kits are delivered to hospitals. For the facilitation services, we purchase the laboratory equipment from third-party suppliers when a hospital submits purchase request and resell the laboratory equipment to the hospital. We act as an agent in facilitating laboratory equipment sales as we do not control the equipment before its delivery to hospitals and do not have inventory risks. The facilitation services for each piece of laboratory equipment represent a single performance obligation. We record revenue on a net basis at the point in time when we have completed our facilitation services.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from pharma research and development services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We provide pharma research and development services to pharmaceutical companies for developing new targeted therapies and immunotherapies on various types of cancers, and to hospitals for their studies on cancer diagnosis and treatment. The pharma research and development services include a range of cancer therapy selection test services, analytical validation services and project management services. We deliver an analysis report upon completion of services. The test services, analytical validation services and project management services are not distinct within the context of the contract because we are using these services as inputs to produce the analysis report. We recognize services revenue over the period in which these services are provided because we do not create an asset with alternative use to us and we have an enforceable right to payment for the performance completed to date. We recognize revenue using an output method to measure progress, utilizing cancer therapy selection tests performed to-date as our measure of progress.</w:t>
      </w:r>
    </w:p>
    <w:p>
      <w:pPr>
        <w:spacing w:after="0" w:line="17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Pharmaceutical companies and hospitals may also separately engage us to perform multiple cancer therapy selection tests without an analysis of the test results. Each cancer therapy selection test is capable of being distinct and separately identifiable from other promises in the contracts and therefore, represents distinct performance obligations. Revenue is allocated to each cancer therapy selection test using a relative standalone selling price basis. We record revenue at a point in time, when each cancer therapy selection test result is delivered to the pharmaceutical companies and hospitals.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We are subject to income taxes in China and Hong Kong. Significant judgment is required in evaluating our uncertain tax positions and determining our provision for income taxes.</w:t>
      </w:r>
    </w:p>
    <w:p>
      <w:pPr>
        <w:spacing w:after="0" w:line="170"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Although we believe we have adequately reserved for our uncertain tax positions, no assurance can be given that the final tax outcome of these matters will not be different.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and the effective tax rate in the period in which such determination is made. The provision for income taxes includes the impact of reserve provisions and changes to reserves that are considered appropriate, as well as the related net interest and penalties. In addition, we are subject to the continuous examination of our income tax filings by the tax authorities, which may assert assessments against us. We regularly assess the likelihood of adverse outcomes resulting from these examinations and assessments to determine the adequacy of our provision for income taxes.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Long-lived assets, including property and equipment and intangible assets with finite lives, are reviewed for impairment whenever events or changes in circumstances indicate that the carrying amount of an asset may not be recoverable. The evaluation is performed at the lowest level of identifiable cash flows independent of other assets. An impairment loss would be recognized when estimated undiscounted future cash flows generated from the assets are less than their carrying amount. Measurement of an impairment loss would be based on the excess of the carrying amount of the asset group over its fair value.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of Share Options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Prior to the completion of our initial public offering, we determined the fair value of share-based payment awards using the binomial option valuation model with the assistance from an independent third-party appraiser. Upon the completion of our initial public offering, we determined the fair value of share-based payment awards using the Black-Scholes model. The binomial and Black-Scholes models require subjective assumptions, including the grant date fair value of the ordinary shares, expected volatility, the exercise multiple, the risk-free rate and the dividend yield. Prior to the completion of our initial public offering, we estimated grant date fair value of its ordinary shares with assistance from the third-party appraiser. Upon the completion of our initial public offering, we used the grant date closing ADS price quoted on NASDAQ exchange to determine the fair value of our ordinary shares. For expected volatility, we have referenced historical volatility of several comparable companies in the same industry. The exercise multiple was estimated as the average ratio of the stock price to the exercise price of when employees would decide to voluntarily exercise their vested options. The risk-free rate for periods within the contractual life of the options is based on the market yield of U.S. Treasury Bonds in effect at the time of grant. The dividend yield is based on our expected dividend policy over the contractual life of the options.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assumptions used to estimate the fair value of the share options granted are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720" w:type="dxa"/>
            <w:vAlign w:val="bottom"/>
            <w:gridSpan w:val="2"/>
          </w:tcPr>
          <w:p>
            <w:pPr>
              <w:jc w:val="center"/>
              <w:ind w:left="259"/>
              <w:spacing w:after="0" w:line="142" w:lineRule="exact"/>
              <w:rPr>
                <w:sz w:val="20"/>
                <w:szCs w:val="20"/>
                <w:color w:val="auto"/>
              </w:rPr>
            </w:pPr>
            <w:r>
              <w:rPr>
                <w:rFonts w:ascii="Arial" w:cs="Arial" w:eastAsia="Arial" w:hAnsi="Arial"/>
                <w:sz w:val="14"/>
                <w:szCs w:val="14"/>
                <w:b w:val="1"/>
                <w:bCs w:val="1"/>
                <w:color w:val="auto"/>
                <w:w w:val="96"/>
              </w:rPr>
              <w:t>2019</w:t>
            </w:r>
          </w:p>
        </w:tc>
        <w:tc>
          <w:tcPr>
            <w:tcW w:w="1840" w:type="dxa"/>
            <w:vAlign w:val="bottom"/>
            <w:gridSpan w:val="2"/>
          </w:tcPr>
          <w:p>
            <w:pPr>
              <w:jc w:val="center"/>
              <w:ind w:left="274"/>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2.69%–3.05%</w:t>
            </w:r>
          </w:p>
        </w:tc>
        <w:tc>
          <w:tcPr>
            <w:tcW w:w="3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1.63%–2.41%</w:t>
            </w:r>
          </w:p>
        </w:tc>
        <w:tc>
          <w:tcPr>
            <w:tcW w:w="3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0.51%-1.90%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Dividend yield</w:t>
            </w:r>
          </w:p>
        </w:tc>
        <w:tc>
          <w:tcPr>
            <w:tcW w:w="168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0%</w:t>
            </w:r>
          </w:p>
        </w:tc>
        <w:tc>
          <w:tcPr>
            <w:tcW w:w="1720" w:type="dxa"/>
            <w:vAlign w:val="bottom"/>
            <w:gridSpan w:val="2"/>
          </w:tcPr>
          <w:p>
            <w:pPr>
              <w:jc w:val="center"/>
              <w:ind w:left="259"/>
              <w:spacing w:after="0"/>
              <w:rPr>
                <w:sz w:val="20"/>
                <w:szCs w:val="20"/>
                <w:color w:val="auto"/>
              </w:rPr>
            </w:pPr>
            <w:r>
              <w:rPr>
                <w:rFonts w:ascii="Arial" w:cs="Arial" w:eastAsia="Arial" w:hAnsi="Arial"/>
                <w:sz w:val="18"/>
                <w:szCs w:val="18"/>
                <w:color w:val="auto"/>
                <w:w w:val="84"/>
              </w:rPr>
              <w:t>0%</w:t>
            </w:r>
          </w:p>
        </w:tc>
        <w:tc>
          <w:tcPr>
            <w:tcW w:w="1840" w:type="dxa"/>
            <w:vAlign w:val="bottom"/>
            <w:gridSpan w:val="2"/>
          </w:tcPr>
          <w:p>
            <w:pPr>
              <w:jc w:val="center"/>
              <w:ind w:left="274"/>
              <w:spacing w:after="0"/>
              <w:rPr>
                <w:sz w:val="20"/>
                <w:szCs w:val="20"/>
                <w:color w:val="auto"/>
              </w:rPr>
            </w:pPr>
            <w:r>
              <w:rPr>
                <w:rFonts w:ascii="Arial" w:cs="Arial" w:eastAsia="Arial" w:hAnsi="Arial"/>
                <w:sz w:val="18"/>
                <w:szCs w:val="18"/>
                <w:color w:val="auto"/>
                <w:w w:val="92"/>
              </w:rPr>
              <w:t>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range</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46.0%–47.8%</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44.6%–45.4%</w:t>
            </w:r>
          </w:p>
        </w:tc>
        <w:tc>
          <w:tcPr>
            <w:tcW w:w="1840" w:type="dxa"/>
            <w:vAlign w:val="bottom"/>
            <w:gridSpan w:val="2"/>
            <w:shd w:val="clear" w:color="auto" w:fill="CCEEFF"/>
          </w:tcPr>
          <w:p>
            <w:pPr>
              <w:jc w:val="center"/>
              <w:ind w:left="274"/>
              <w:spacing w:after="0"/>
              <w:rPr>
                <w:sz w:val="20"/>
                <w:szCs w:val="20"/>
                <w:color w:val="auto"/>
              </w:rPr>
            </w:pPr>
            <w:r>
              <w:rPr>
                <w:rFonts w:ascii="Arial" w:cs="Arial" w:eastAsia="Arial" w:hAnsi="Arial"/>
                <w:sz w:val="18"/>
                <w:szCs w:val="18"/>
                <w:color w:val="auto"/>
                <w:w w:val="92"/>
              </w:rPr>
              <w:t>44.9%-49.3%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Exercise multiple</w:t>
            </w:r>
          </w:p>
        </w:tc>
        <w:tc>
          <w:tcPr>
            <w:tcW w:w="168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2.20</w:t>
            </w:r>
          </w:p>
        </w:tc>
        <w:tc>
          <w:tcPr>
            <w:tcW w:w="3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2.20–2.80</w:t>
            </w:r>
          </w:p>
        </w:tc>
        <w:tc>
          <w:tcPr>
            <w:tcW w:w="1840" w:type="dxa"/>
            <w:vAlign w:val="bottom"/>
            <w:gridSpan w:val="2"/>
          </w:tcPr>
          <w:p>
            <w:pPr>
              <w:jc w:val="center"/>
              <w:ind w:left="274"/>
              <w:spacing w:after="0"/>
              <w:rPr>
                <w:sz w:val="20"/>
                <w:szCs w:val="20"/>
                <w:color w:val="auto"/>
              </w:rPr>
            </w:pPr>
            <w:r>
              <w:rPr>
                <w:rFonts w:ascii="Arial" w:cs="Arial" w:eastAsia="Arial" w:hAnsi="Arial"/>
                <w:sz w:val="18"/>
                <w:szCs w:val="18"/>
                <w:color w:val="auto"/>
                <w:w w:val="91"/>
              </w:rPr>
              <w:t>2.20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 years</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w w:val="97"/>
              </w:rPr>
              <w:t>Fair market value per ordinary share as at valuation</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dates</w:t>
            </w:r>
            <w:r>
              <w:rPr>
                <w:rFonts w:ascii="Arial" w:cs="Arial" w:eastAsia="Arial" w:hAnsi="Arial"/>
                <w:sz w:val="15"/>
                <w:szCs w:val="15"/>
                <w:color w:val="auto"/>
              </w:rPr>
              <w:t>(1)</w:t>
            </w:r>
          </w:p>
        </w:tc>
        <w:tc>
          <w:tcPr>
            <w:tcW w:w="168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US$2.32–US$3.20</w:t>
            </w:r>
          </w:p>
        </w:tc>
        <w:tc>
          <w:tcPr>
            <w:tcW w:w="1720" w:type="dxa"/>
            <w:vAlign w:val="bottom"/>
            <w:gridSpan w:val="2"/>
          </w:tcPr>
          <w:p>
            <w:pPr>
              <w:jc w:val="center"/>
              <w:ind w:left="259"/>
              <w:spacing w:after="0"/>
              <w:rPr>
                <w:sz w:val="20"/>
                <w:szCs w:val="20"/>
                <w:color w:val="auto"/>
              </w:rPr>
            </w:pPr>
            <w:r>
              <w:rPr>
                <w:rFonts w:ascii="Arial" w:cs="Arial" w:eastAsia="Arial" w:hAnsi="Arial"/>
                <w:sz w:val="18"/>
                <w:szCs w:val="18"/>
                <w:color w:val="auto"/>
                <w:w w:val="89"/>
              </w:rPr>
              <w:t>US$3.30–US$9.41</w:t>
            </w:r>
          </w:p>
        </w:tc>
        <w:tc>
          <w:tcPr>
            <w:tcW w:w="1840" w:type="dxa"/>
            <w:vAlign w:val="bottom"/>
            <w:gridSpan w:val="2"/>
          </w:tcPr>
          <w:p>
            <w:pPr>
              <w:jc w:val="center"/>
              <w:ind w:left="274"/>
              <w:spacing w:after="0"/>
              <w:rPr>
                <w:sz w:val="20"/>
                <w:szCs w:val="20"/>
                <w:color w:val="auto"/>
              </w:rPr>
            </w:pPr>
            <w:r>
              <w:rPr>
                <w:rFonts w:ascii="Arial" w:cs="Arial" w:eastAsia="Arial" w:hAnsi="Arial"/>
                <w:sz w:val="18"/>
                <w:szCs w:val="18"/>
                <w:color w:val="auto"/>
                <w:w w:val="89"/>
              </w:rPr>
              <w:t>US$9.41–US$27.15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480" w:hanging="424"/>
        <w:spacing w:after="0" w:line="263" w:lineRule="auto"/>
        <w:tabs>
          <w:tab w:leader="none" w:pos="540" w:val="left"/>
        </w:tabs>
        <w:numPr>
          <w:ilvl w:val="0"/>
          <w:numId w:val="40"/>
        </w:numPr>
        <w:rPr>
          <w:rFonts w:ascii="Arial" w:cs="Arial" w:eastAsia="Arial" w:hAnsi="Arial"/>
          <w:sz w:val="15"/>
          <w:szCs w:val="15"/>
          <w:color w:val="auto"/>
        </w:rPr>
      </w:pPr>
      <w:r>
        <w:rPr>
          <w:rFonts w:ascii="Arial" w:cs="Arial" w:eastAsia="Arial" w:hAnsi="Arial"/>
          <w:sz w:val="18"/>
          <w:szCs w:val="18"/>
          <w:color w:val="auto"/>
        </w:rPr>
        <w:t>In January 2020, we effected a 2-for-1 reverse share split. For the purpose of presenting the fair value per ordinary share for the years ended December 31, 2018 and 2019 in the table above, such reverse share split has been retroactively reflected for all applicable valuation dates presented herein.</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These assumptions represented our best estimates, but the estimates involve inherent uncertainties and the application of our judgment. As a result, if we use significantly different assumptions or estimates when valuing our options, our share-based compensation expense could be materially different.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of Ordinary Shares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Prior to the completion of our initial public offering, we were required to estimate the fair value of the ordinary shares underlying our options when performing the fair value calculations with the binomial option pricing model. Therefore, our board of directors estimated the fair value of our ordinary shares at various dates, with input from management, considering the third-party valuations of ordinary shares at each grant date. The valuations of our ordinary shares were performed using methodologies, approaches and assumptions consistent with the American Institute of Certified Public Accountants Audit and Accounting Practice Aid Series: Valuation of Privately-Held-Company Equity Securities Issued as Compensation, or the AICPA Practice Guide. In addition, our board of directors considered various objective and subjective factors, along with input from management and the independent third-party valuation firm, to determine the fair value of our ordinary shares, including: external market conditions affecting the industry, trends within the industry, the results of operations, financial position, status of our research and development efforts, our stage of development and business strategy, and the lack of an active public market for our ordinary shares, and the likelihood of achieving a liquidity event such as an initial public offering. Upon the completion of our initial public offering, the fair value of share awards is determined with reference to our ADS price on the NASDAQ.</w:t>
      </w:r>
    </w:p>
    <w:p>
      <w:pPr>
        <w:spacing w:after="0" w:line="18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order to determine the fair value of our ordinary shares underlying each share-based award grant, we first determined our business equity value, or BEV, and then allocated the BEV to each element of our capital structure (convertible preference shares and ordinary shares) using the option pricing method, or OPM. In our case, three scenarios were assumed, namely: (i) the liquidation scenario, in which the OPM was adopted to allocate the value between convertible preferred shares and ordinary shares, (ii) the redemption scenario, in which the OPM was adopted to allocate the value between convertible preferred shares and ordinary shares, and (iii) the mandatory conversion scenario, in which equity value was allocated to convertible preferred shares and ordinary shares on an as-if converted basis.</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determining the fair value of the ordinary shares on June 30, 2018, June 30, 2019 and September 30, 2019, we applied the income approach/discounted cash flow analysis based on our projected cash flow using our best estimate as of the valuation. The determination of our fair value of the ordinary shares requires complex and subjective judgments to be made regarding our projected financial and operating results, our unique business risks, and our operating history and prospects at the time of valuation.</w:t>
      </w:r>
    </w:p>
    <w:p>
      <w:pPr>
        <w:spacing w:after="0" w:line="187"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The income approach involves applying appropriate discount rates to estimated cash flows that are based on earnings forecasts. Our revenue growth rates, as well as major milestones that we have achieved, contributed to the increase in the fair value of our ordinary shares.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major assumptions used in calculating the fair value of ordinary shares include:</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i w:val="1"/>
          <w:iCs w:val="1"/>
          <w:color w:val="auto"/>
        </w:rPr>
        <w:t>Discount rates</w:t>
      </w:r>
      <w:r>
        <w:rPr>
          <w:rFonts w:ascii="Arial" w:cs="Arial" w:eastAsia="Arial" w:hAnsi="Arial"/>
          <w:sz w:val="16"/>
          <w:szCs w:val="16"/>
          <w:color w:val="auto"/>
        </w:rPr>
        <w:t>. The discount rates set forth in the table above were based on the weighted average cost of capital, which was determined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a consideration of the factors including risk-free rate, comparative industry risk, equity risk premium, company size and non-systemic risk factors.</w:t>
      </w:r>
    </w:p>
    <w:p>
      <w:pPr>
        <w:spacing w:after="0" w:line="12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i w:val="1"/>
          <w:iCs w:val="1"/>
          <w:color w:val="auto"/>
        </w:rPr>
        <w:t xml:space="preserve">Comparable companies. </w:t>
      </w:r>
      <w:r>
        <w:rPr>
          <w:rFonts w:ascii="Arial" w:cs="Arial" w:eastAsia="Arial" w:hAnsi="Arial"/>
          <w:sz w:val="16"/>
          <w:szCs w:val="16"/>
          <w:color w:val="auto"/>
        </w:rPr>
        <w:t>In deriving the weighted average cost of capital used as the discount rates under the income approach as of the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date, we selected ten publicly traded companies for reference as our guideline companies. The guideline companies were selected based on the following criteria: (i) they operate in similar industries as we do, and (ii) their shares are publicly traded in developed capital markets, i.e., the U.S.</w:t>
      </w:r>
    </w:p>
    <w:p>
      <w:pPr>
        <w:spacing w:after="0" w:line="14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Discount for lack of marketability, or DLOM</w:t>
      </w:r>
      <w:r>
        <w:rPr>
          <w:rFonts w:ascii="Arial" w:cs="Arial" w:eastAsia="Arial" w:hAnsi="Arial"/>
          <w:sz w:val="18"/>
          <w:szCs w:val="18"/>
          <w:color w:val="auto"/>
        </w:rPr>
        <w:t>. DLOM was calculated using the Finnerty method based on the historical volatilities of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It reflects the lower value placed on securities that are not freely transferable, as compared to those are frequently traded in an established market.</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determining the fair value of the ordinary shares on December 31, 2018 and December 31, 2019, we applied the back-solve method based on the issuance price of the nearest round of preferred share financing.</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determining the fair value of the ordinary shares on the rest of the valuation dates, we applied the interpolation method analysis based on the amount of time between the previous valuation date and subsequent valuation date on the rest of the valuation dates, using a straight-line interpolation between the two valuation dates. This determination included an evaluation of whether there is any significant change in valuation had occurred between the previous valuation and subsequent valuation date.</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fair value of our ordinary shares increased from US$3.20 per share as of December 31, 2018 to US$9.41 per share as of December 31, 2019, primarily due to the following factors:</w:t>
      </w:r>
    </w:p>
    <w:p>
      <w:pPr>
        <w:spacing w:after="0" w:line="76" w:lineRule="exact"/>
        <w:rPr>
          <w:sz w:val="20"/>
          <w:szCs w:val="20"/>
          <w:color w:val="auto"/>
        </w:rPr>
      </w:pPr>
    </w:p>
    <w:p>
      <w:pPr>
        <w:ind w:left="1080" w:right="4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we progressed towards the initial public offering, the lead time to an expected liquidity event significantly decreased, resulting in a corresponding decrease in the DLOM from 15.0% to 7.5%.</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in anticipation of a successful initial public offering. Upon the completion of this offering, the conversion of our preferred shares and the corresponding elimination of liquidation and other preferences will also contribute to the increase in the value of our ordinary shares.</w:t>
      </w:r>
    </w:p>
    <w:p>
      <w:pPr>
        <w:spacing w:after="0" w:line="89" w:lineRule="exact"/>
        <w:rPr>
          <w:rFonts w:ascii="Arial" w:cs="Arial" w:eastAsia="Arial" w:hAnsi="Arial"/>
          <w:sz w:val="18"/>
          <w:szCs w:val="18"/>
          <w:color w:val="auto"/>
        </w:rPr>
      </w:pPr>
    </w:p>
    <w:p>
      <w:pPr>
        <w:ind w:left="1080" w:right="60" w:hanging="424"/>
        <w:spacing w:after="0" w:line="254"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business has achieved rapid organic growth in 2019. In 2019, 23,075 patients took our tests under our central laboratory model. The number of partner hospitals under our in-hospital model increased from 26 as of December 31, 2018 to 40 as of December 31, 2019. We launched Magnis BR, our fully automated NGS library preparation system and associated library preparation reagents, in September 2019, which we believe will further strengthen our cooperation with partner hospitals under our in-hospital model. In addition, we entered into new R&amp;D collaboration arrangements with industry leading pharmaceutical companies including BeiGene, Ltd. Our revenue increased by 82.7% from RMB208.9 million in 2018 to RMB381.7 million in 2019, and our gross profit increased by 102.4% from RMB135.1 million in 2018 to RMB273.3 million in 2019. Accordingly, we made an upward adjustment to our revenue projection due to the above-mentioned developments.</w:t>
      </w:r>
    </w:p>
    <w:p>
      <w:pPr>
        <w:spacing w:after="0" w:line="97"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Leo Li joined our company as chief financial officer, and we continued to bolster our management and finance function over this period.</w:t>
      </w:r>
    </w:p>
    <w:p>
      <w:pPr>
        <w:spacing w:after="0" w:line="75"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December 30, 2019, we entered into a Series C+ share purchase agreement with several investors. On January 10, 2020, we completed this new round of financing for a total amount of US$29 million through issuance of Series C+ preferred shares. The new round of financing not only provided us with additional resources for our business development, but also indicated an increase in investors’ confidence in our business prospects.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fair value of our ordinary shares was US$9.41 per share on February 1, 2020, which was the same as that on December 31, 2019.</w:t>
      </w:r>
    </w:p>
    <w:p>
      <w:pPr>
        <w:spacing w:after="0" w:line="23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However, these fair values are inherently uncertain and highly subjective. The assumptions used in deriving the fair values are consistent with our business plan. These assumptions include: (i) no material changes in the existing political, legal and economic conditions in China; (ii) our ability to retain competent management, key personnel and staff to support our ongoing operations; and (iii) no material deviation in market conditions from economic forecasts. These assumptions are inherently uncertain.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We apply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820 defines fair value, establishes a framework for measuring fair value and expands disclosures about fair value measurements. ASC 820 requires disclosures to be provided for fair value measurements. ASC 820 establishes a three-tier fair value hierarchy, which prioritizes the inputs used in measuring fair value, as follows: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2 - Include other inputs that are directly or indirectly observable in the marketplace.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3 - Unobservable inputs which are supported by little or no market activity.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ASC 820 describes three main approaches to measuring the fair value of assets and liabilities: (1) market approach; (2) income approach, and</w:t>
      </w:r>
    </w:p>
    <w:p>
      <w:pPr>
        <w:spacing w:after="0" w:line="46" w:lineRule="exact"/>
        <w:rPr>
          <w:sz w:val="20"/>
          <w:szCs w:val="20"/>
          <w:color w:val="auto"/>
        </w:rPr>
      </w:pPr>
    </w:p>
    <w:p>
      <w:pPr>
        <w:ind w:left="120" w:hanging="4"/>
        <w:spacing w:after="0" w:line="253" w:lineRule="auto"/>
        <w:tabs>
          <w:tab w:leader="none" w:pos="3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93"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carrying amounts of cash and cash equivalent, restricted cash, short-term investments, accounts receivable, amounts due from and due to related parties, accounts payable and short-term borrowings approximate their fair values because of their generally short maturities. The carrying amounts of long-term borrowings and long-term investments approximate their fair values since they bear interest rates at which approximate market interest rates.</w:t>
      </w:r>
    </w:p>
    <w:p>
      <w:pPr>
        <w:spacing w:after="0" w:line="187"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On January 22, 2020, the holder of the Series C convertible redeemable preferred shares warrant (the “Series C Warrant”) exercised its Series C Warrant and purchased 1,064,950 Series C convertible redeemable preferred shares. We recognized a gain from the decrease in warrant fair value of RMB3.5 million (US$0.5 million) for the year ended December 31, 2020. We recognized a loss from the increase in fair value of RMB2.8 million for the year ended December 31, 2019. As of December 31, 2020, there were no warrants outstanding.</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Fair value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Foreign exchange translation</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Exercise of Series C Warrant</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43" w:lineRule="exact"/>
        <w:rPr>
          <w:sz w:val="20"/>
          <w:szCs w:val="20"/>
          <w:color w:val="auto"/>
        </w:rPr>
      </w:pPr>
    </w:p>
    <w:p>
      <w:pPr>
        <w:ind w:left="2060" w:right="240" w:hanging="179"/>
        <w:spacing w:after="0" w:line="258" w:lineRule="auto"/>
        <w:rPr>
          <w:sz w:val="20"/>
          <w:szCs w:val="20"/>
          <w:color w:val="auto"/>
        </w:rPr>
      </w:pPr>
      <w:r>
        <w:rPr>
          <w:rFonts w:ascii="Arial" w:cs="Arial" w:eastAsia="Arial" w:hAnsi="Arial"/>
          <w:sz w:val="18"/>
          <w:szCs w:val="18"/>
          <w:color w:val="auto"/>
        </w:rPr>
        <w:t>The amount of total gain for the year ended December 31, 2020 included in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wp:posOffset>
            </wp:positionV>
            <wp:extent cx="4749165" cy="274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2060" w:right="240" w:hanging="179"/>
        <w:spacing w:after="0" w:line="260" w:lineRule="auto"/>
        <w:rPr>
          <w:sz w:val="20"/>
          <w:szCs w:val="20"/>
          <w:color w:val="auto"/>
        </w:rPr>
      </w:pPr>
      <w:r>
        <w:rPr>
          <w:rFonts w:ascii="Arial" w:cs="Arial" w:eastAsia="Arial" w:hAnsi="Arial"/>
          <w:sz w:val="18"/>
          <w:szCs w:val="18"/>
          <w:color w:val="auto"/>
        </w:rPr>
        <w:t>The amount of total gain for the year ended December 31, 2020 included in losses (US$)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1860"/>
        <w:spacing w:after="0"/>
        <w:rPr>
          <w:sz w:val="20"/>
          <w:szCs w:val="20"/>
          <w:color w:val="auto"/>
        </w:rPr>
      </w:pPr>
      <w:r>
        <w:rPr>
          <w:rFonts w:ascii="Arial" w:cs="Arial" w:eastAsia="Arial" w:hAnsi="Arial"/>
          <w:sz w:val="14"/>
          <w:szCs w:val="14"/>
          <w:b w:val="1"/>
          <w:bCs w:val="1"/>
          <w:u w:val="single" w:color="auto"/>
          <w:color w:val="auto"/>
        </w:rPr>
        <w:t>Warrant liability</w:t>
      </w:r>
    </w:p>
    <w:p>
      <w:pPr>
        <w:spacing w:after="0" w:line="17" w:lineRule="exact"/>
        <w:rPr>
          <w:sz w:val="20"/>
          <w:szCs w:val="20"/>
          <w:color w:val="auto"/>
        </w:rPr>
      </w:pPr>
    </w:p>
    <w:p>
      <w:pPr>
        <w:jc w:val="center"/>
        <w:ind w:right="1860"/>
        <w:spacing w:after="0"/>
        <w:rPr>
          <w:sz w:val="20"/>
          <w:szCs w:val="20"/>
          <w:color w:val="auto"/>
        </w:rPr>
      </w:pPr>
      <w:r>
        <w:rPr>
          <w:rFonts w:ascii="Arial" w:cs="Arial" w:eastAsia="Arial" w:hAnsi="Arial"/>
          <w:sz w:val="13"/>
          <w:szCs w:val="13"/>
          <w:b w:val="1"/>
          <w:bCs w:val="1"/>
          <w:color w:val="auto"/>
        </w:rPr>
        <w:t>RMB in thousands</w:t>
      </w:r>
    </w:p>
    <w:p>
      <w:pPr>
        <w:spacing w:after="0" w:line="7"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23,503</w:t>
      </w:r>
    </w:p>
    <w:p>
      <w:pPr>
        <w:spacing w:after="0" w:line="7"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(3,503)</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(260)</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(19,740)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72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372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7372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5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3,503</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537</w:t>
      </w:r>
    </w:p>
    <w:p>
      <w:pPr>
        <w:spacing w:after="0" w:line="224" w:lineRule="exact"/>
        <w:rPr>
          <w:sz w:val="20"/>
          <w:szCs w:val="20"/>
          <w:color w:val="auto"/>
        </w:rPr>
      </w:pPr>
    </w:p>
    <w:p>
      <w:pPr>
        <w:sectPr>
          <w:pgSz w:w="11900" w:h="16838" w:orient="portrait"/>
          <w:cols w:equalWidth="0" w:num="2">
            <w:col w:w="7380" w:space="720"/>
            <w:col w:w="3020"/>
          </w:cols>
          <w:pgMar w:left="320" w:top="459" w:right="459" w:bottom="1440" w:gutter="0" w:footer="0" w:header="0"/>
          <w:type w:val="continuous"/>
        </w:sectPr>
      </w:pPr>
    </w:p>
    <w:p>
      <w:pPr>
        <w:jc w:val="both"/>
        <w:ind w:left="120" w:right="220" w:firstLine="440"/>
        <w:spacing w:after="0" w:line="263" w:lineRule="auto"/>
        <w:rPr>
          <w:sz w:val="20"/>
          <w:szCs w:val="20"/>
          <w:color w:val="auto"/>
        </w:rPr>
      </w:pPr>
      <w:r>
        <w:rPr>
          <w:rFonts w:ascii="Arial" w:cs="Arial" w:eastAsia="Arial" w:hAnsi="Arial"/>
          <w:sz w:val="18"/>
          <w:szCs w:val="18"/>
          <w:color w:val="auto"/>
        </w:rPr>
        <w:t>We did not transfer any assets or liabilities in or out of Level 3 during the year ended December 31, 2020. As of December 31, 2020, there were no warrants outstanding. Therefore, there was no asset or liability measured at fair value using Level 3 unobservable inputs on a recurring basis as of December 31, 2020.</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had no financial assets and liabilities measured and recorded at fair value on a non-recurring basis as of December 31, 2018, December 31, 2019 or December 31, 2020.</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 list of recent relevant accounting pronouncements is included in Note 2 “Summary of Significant Accounting Policies” to our consolidated financial statements included elsewhere in this annual report.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center"/>
              <w:ind w:right="161"/>
              <w:spacing w:after="0"/>
              <w:rPr>
                <w:sz w:val="20"/>
                <w:szCs w:val="20"/>
                <w:color w:val="auto"/>
              </w:rPr>
            </w:pPr>
            <w:r>
              <w:rPr>
                <w:rFonts w:ascii="Arial" w:cs="Arial" w:eastAsia="Arial" w:hAnsi="Arial"/>
                <w:sz w:val="14"/>
                <w:szCs w:val="14"/>
                <w:b w:val="1"/>
                <w:bCs w:val="1"/>
                <w:color w:val="auto"/>
                <w:w w:val="91"/>
              </w:rPr>
              <w:t>Year ended December 31,</w:t>
            </w: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9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9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RMB</w:t>
            </w:r>
          </w:p>
        </w:tc>
        <w:tc>
          <w:tcPr>
            <w:tcW w:w="600" w:type="dxa"/>
            <w:vAlign w:val="bottom"/>
          </w:tcPr>
          <w:p>
            <w:pPr>
              <w:jc w:val="right"/>
              <w:ind w:right="52"/>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920" w:type="dxa"/>
            <w:vAlign w:val="bottom"/>
            <w:gridSpan w:val="2"/>
            <w:vMerge w:val="restart"/>
          </w:tcPr>
          <w:p>
            <w:pPr>
              <w:jc w:val="right"/>
              <w:ind w:right="321"/>
              <w:spacing w:after="0"/>
              <w:rPr>
                <w:sz w:val="20"/>
                <w:szCs w:val="20"/>
                <w:color w:val="auto"/>
              </w:rPr>
            </w:pPr>
            <w:r>
              <w:rPr>
                <w:rFonts w:ascii="Arial" w:cs="Arial" w:eastAsia="Arial" w:hAnsi="Arial"/>
                <w:sz w:val="14"/>
                <w:szCs w:val="14"/>
                <w:b w:val="1"/>
                <w:bCs w:val="1"/>
                <w:color w:val="auto"/>
              </w:rPr>
              <w:t>RMB</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920" w:type="dxa"/>
            <w:vAlign w:val="bottom"/>
            <w:gridSpan w:val="2"/>
            <w:vMerge w:val="restart"/>
          </w:tcPr>
          <w:p>
            <w:pPr>
              <w:jc w:val="right"/>
              <w:ind w:right="321"/>
              <w:spacing w:after="0"/>
              <w:rPr>
                <w:sz w:val="20"/>
                <w:szCs w:val="20"/>
                <w:color w:val="auto"/>
              </w:rPr>
            </w:pPr>
            <w:r>
              <w:rPr>
                <w:rFonts w:ascii="Arial" w:cs="Arial" w:eastAsia="Arial" w:hAnsi="Arial"/>
                <w:sz w:val="14"/>
                <w:szCs w:val="14"/>
                <w:b w:val="1"/>
                <w:bCs w:val="1"/>
                <w:color w:val="auto"/>
              </w:rPr>
              <w:t>RMB</w:t>
            </w:r>
          </w:p>
        </w:tc>
        <w:tc>
          <w:tcPr>
            <w:tcW w:w="900" w:type="dxa"/>
            <w:vAlign w:val="bottom"/>
            <w:gridSpan w:val="2"/>
            <w:vMerge w:val="restart"/>
          </w:tcPr>
          <w:p>
            <w:pPr>
              <w:jc w:val="right"/>
              <w:ind w:right="341"/>
              <w:spacing w:after="0"/>
              <w:rPr>
                <w:sz w:val="20"/>
                <w:szCs w:val="20"/>
                <w:color w:val="auto"/>
              </w:rPr>
            </w:pPr>
            <w:r>
              <w:rPr>
                <w:rFonts w:ascii="Arial" w:cs="Arial" w:eastAsia="Arial" w:hAnsi="Arial"/>
                <w:sz w:val="14"/>
                <w:szCs w:val="14"/>
                <w:b w:val="1"/>
                <w:bCs w:val="1"/>
                <w:color w:val="auto"/>
              </w:rPr>
              <w:t>US$</w:t>
            </w:r>
          </w:p>
        </w:tc>
        <w:tc>
          <w:tcPr>
            <w:tcW w:w="600" w:type="dxa"/>
            <w:vAlign w:val="bottom"/>
          </w:tcPr>
          <w:p>
            <w:pPr>
              <w:jc w:val="right"/>
              <w:ind w:right="52"/>
              <w:spacing w:after="0" w:line="119"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vMerge w:val="continue"/>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6"/>
          </w:tcPr>
          <w:p>
            <w:pPr>
              <w:jc w:val="center"/>
              <w:ind w:right="141"/>
              <w:spacing w:after="0" w:line="142" w:lineRule="exact"/>
              <w:rPr>
                <w:sz w:val="20"/>
                <w:szCs w:val="20"/>
                <w:color w:val="auto"/>
              </w:rPr>
            </w:pPr>
            <w:r>
              <w:rPr>
                <w:rFonts w:ascii="Arial" w:cs="Arial" w:eastAsia="Arial" w:hAnsi="Arial"/>
                <w:sz w:val="14"/>
                <w:szCs w:val="14"/>
                <w:b w:val="1"/>
                <w:bCs w:val="1"/>
                <w:color w:val="auto"/>
                <w:w w:val="92"/>
              </w:rPr>
              <w:t>(in thousands, except for %)</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Revenues from services</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180,187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86.3</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292,523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76.6</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311,184</w:t>
            </w: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47,691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sales of products</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28,680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89,154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118,719</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18,194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208,867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381,677</w:t>
            </w:r>
          </w:p>
        </w:tc>
        <w:tc>
          <w:tcPr>
            <w:tcW w:w="2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429,903</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65,885</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Cost of services</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(60,688)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(78,837)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(80,132)</w:t>
            </w: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(12,281)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(13,120)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(29,506)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(35,849)</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(5,494)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Total cost of revenues</w:t>
            </w: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(73,808)</w:t>
            </w:r>
          </w:p>
        </w:tc>
        <w:tc>
          <w:tcPr>
            <w:tcW w:w="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(35.3)</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(108,343</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(115,981</w:t>
            </w:r>
          </w:p>
        </w:tc>
        <w:tc>
          <w:tcPr>
            <w:tcW w:w="2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(17,775)</w:t>
            </w:r>
          </w:p>
        </w:tc>
        <w:tc>
          <w:tcPr>
            <w:tcW w:w="20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135,059</w:t>
            </w:r>
          </w:p>
        </w:tc>
        <w:tc>
          <w:tcPr>
            <w:tcW w:w="200" w:type="dxa"/>
            <w:vAlign w:val="bottom"/>
            <w:gridSpan w:val="2"/>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273,334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313,922</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48,110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r>
              <w:rPr>
                <w:rFonts w:ascii="Arial" w:cs="Arial" w:eastAsia="Arial" w:hAnsi="Arial"/>
                <w:sz w:val="15"/>
                <w:szCs w:val="15"/>
                <w:color w:val="auto"/>
              </w:rPr>
              <w:t>(1)</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(105,299)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(156,935)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(263,940)</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(40,451)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Selling and marketing expenses</w:t>
            </w:r>
            <w:r>
              <w:rPr>
                <w:rFonts w:ascii="Arial" w:cs="Arial" w:eastAsia="Arial" w:hAnsi="Arial"/>
                <w:sz w:val="15"/>
                <w:szCs w:val="15"/>
                <w:color w:val="auto"/>
              </w:rPr>
              <w:t>(1)</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(102,857)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(153,334)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(168,587)</w:t>
            </w: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(25,837)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5"/>
                <w:szCs w:val="15"/>
                <w:color w:val="auto"/>
              </w:rPr>
              <w:t>(1)</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(88,299)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(132,157)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(293,800)</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(45,027)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(296,455</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(442,426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(726,327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(111,315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(161,396)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(77.2)</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(169,092)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(412,405)</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(63,205)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Interest (expense) income, net</w:t>
            </w: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(16,612)</w:t>
            </w:r>
          </w:p>
        </w:tc>
        <w:tc>
          <w:tcPr>
            <w:tcW w:w="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700" w:type="dxa"/>
            <w:vAlign w:val="bottom"/>
          </w:tcPr>
          <w:p>
            <w:pPr>
              <w:jc w:val="right"/>
              <w:spacing w:after="0"/>
              <w:rPr>
                <w:sz w:val="20"/>
                <w:szCs w:val="20"/>
                <w:color w:val="auto"/>
              </w:rPr>
            </w:pPr>
            <w:r>
              <w:rPr>
                <w:rFonts w:ascii="Arial" w:cs="Arial" w:eastAsia="Arial" w:hAnsi="Arial"/>
                <w:sz w:val="18"/>
                <w:szCs w:val="18"/>
                <w:color w:val="auto"/>
              </w:rPr>
              <w:t>2,172</w:t>
            </w:r>
          </w:p>
        </w:tc>
        <w:tc>
          <w:tcPr>
            <w:tcW w:w="2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5,401</w:t>
            </w:r>
          </w:p>
        </w:tc>
        <w:tc>
          <w:tcPr>
            <w:tcW w:w="2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828</w:t>
            </w:r>
          </w:p>
        </w:tc>
        <w:tc>
          <w:tcPr>
            <w:tcW w:w="2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(887)</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Foreign exchange (loss) gain, net</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999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1,486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(2,847)</w:t>
            </w: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(436)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(2,839)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3,503</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537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b w:val="1"/>
                <w:bCs w:val="1"/>
                <w:color w:val="auto"/>
              </w:rPr>
              <w:t>Loss before income tax</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(177,497)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(169,156)</w:t>
            </w:r>
          </w:p>
        </w:tc>
        <w:tc>
          <w:tcPr>
            <w:tcW w:w="2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(407,235)</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(62,412)</w:t>
            </w: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(177,497</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(169,156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(407,235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(62,412)</w:t>
            </w: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5"/>
          <w:szCs w:val="15"/>
          <w:color w:val="auto"/>
        </w:rPr>
      </w:pPr>
      <w:r>
        <w:rPr>
          <w:rFonts w:ascii="Arial" w:cs="Arial" w:eastAsia="Arial" w:hAnsi="Arial"/>
          <w:sz w:val="18"/>
          <w:szCs w:val="18"/>
          <w:color w:val="auto"/>
        </w:rPr>
        <w:t>Share-based compensation expenses were allocated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7"/>
              </w:rPr>
              <w:t>Year ended December 31,</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680" w:type="dxa"/>
            <w:vAlign w:val="bottom"/>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9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RMB</w:t>
            </w:r>
          </w:p>
        </w:tc>
        <w:tc>
          <w:tcPr>
            <w:tcW w:w="56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2,096</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9,377</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49,801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1,235</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2,130</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11,502</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119,166</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18,265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5,095</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22,792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173,220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26,547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560" w:right="4680"/>
        <w:spacing w:after="0" w:line="378" w:lineRule="auto"/>
        <w:rPr>
          <w:sz w:val="20"/>
          <w:szCs w:val="20"/>
          <w:color w:val="auto"/>
        </w:rPr>
      </w:pPr>
      <w:r>
        <w:rPr>
          <w:rFonts w:ascii="Arial" w:cs="Arial" w:eastAsia="Arial" w:hAnsi="Arial"/>
          <w:sz w:val="18"/>
          <w:szCs w:val="18"/>
          <w:b w:val="1"/>
          <w:bCs w:val="1"/>
          <w:color w:val="auto"/>
        </w:rPr>
        <w:t xml:space="preserve">Year Ended December 31, 2020 Compared to Year Ended December 31, 2019 </w:t>
      </w:r>
      <w:r>
        <w:rPr>
          <w:rFonts w:ascii="Arial" w:cs="Arial" w:eastAsia="Arial" w:hAnsi="Arial"/>
          <w:sz w:val="18"/>
          <w:szCs w:val="18"/>
          <w:i w:val="1"/>
          <w:iCs w:val="1"/>
          <w:color w:val="auto"/>
        </w:rPr>
        <w:t>Revenues</w:t>
      </w:r>
    </w:p>
    <w:p>
      <w:pPr>
        <w:jc w:val="both"/>
        <w:ind w:left="120" w:right="40" w:firstLine="440"/>
        <w:spacing w:after="0" w:line="259" w:lineRule="auto"/>
        <w:rPr>
          <w:sz w:val="20"/>
          <w:szCs w:val="20"/>
          <w:color w:val="auto"/>
        </w:rPr>
      </w:pPr>
      <w:r>
        <w:rPr>
          <w:rFonts w:ascii="Arial" w:cs="Arial" w:eastAsia="Arial" w:hAnsi="Arial"/>
          <w:sz w:val="18"/>
          <w:szCs w:val="18"/>
          <w:color w:val="auto"/>
        </w:rPr>
        <w:t>Our revenues increased by 12.6% to RMB429.9 million (US$65.9 million) for 2020 from RMB381.7 million for 2019, primarily attributable to an increase in revenues generated from services to RMB311.2 million (US$47.7 million) for 2020 from RMB292.5 million for 2019, and to a lesser extent, revenues from sales of products to RMB118.7 million (US$18.2 million) for 2020 from RMB89.2 million for 2019. We derived our revenues from three sources:</w:t>
      </w:r>
    </w:p>
    <w:p>
      <w:pPr>
        <w:spacing w:after="0" w:line="92" w:lineRule="exact"/>
        <w:rPr>
          <w:sz w:val="20"/>
          <w:szCs w:val="20"/>
          <w:color w:val="auto"/>
        </w:rPr>
      </w:pPr>
    </w:p>
    <w:p>
      <w:pPr>
        <w:ind w:left="1080" w:right="200" w:hanging="424"/>
        <w:spacing w:after="0" w:line="26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Central laboratory business</w:t>
      </w:r>
      <w:r>
        <w:rPr>
          <w:rFonts w:ascii="Arial" w:cs="Arial" w:eastAsia="Arial" w:hAnsi="Arial"/>
          <w:sz w:val="18"/>
          <w:szCs w:val="18"/>
          <w:color w:val="auto"/>
        </w:rPr>
        <w:t>. Our revenue generated from central laboratory business increased by 7.6% to RMB297.3 million (US$45.6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2020 from RMB276.3 million for 2019, primarily attributable to the continued growth of our central laboratory business. In 2020, 25,262 patients took our tests, compared to 23,075 patients in 2019.</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86"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In-hospital business</w:t>
      </w:r>
      <w:r>
        <w:rPr>
          <w:rFonts w:ascii="Arial" w:cs="Arial" w:eastAsia="Arial" w:hAnsi="Arial"/>
          <w:sz w:val="17"/>
          <w:szCs w:val="17"/>
          <w:color w:val="auto"/>
        </w:rPr>
        <w:t>. Our revenue generated from in-hospital business increased by 34.4% to RMB117.9 million (US$18.1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from RMB87.7 million for 2019, primarily attributable to the expansion of our in-hospital business. The number of our partner hospitals increased from 40 as of December 31, 2019 to 52 as of December 31, 2020.</w:t>
      </w:r>
    </w:p>
    <w:p>
      <w:pPr>
        <w:spacing w:after="0" w:line="70" w:lineRule="exact"/>
        <w:rPr>
          <w:rFonts w:ascii="Arial" w:cs="Arial" w:eastAsia="Arial" w:hAnsi="Arial"/>
          <w:sz w:val="17"/>
          <w:szCs w:val="17"/>
          <w:color w:val="auto"/>
        </w:rPr>
      </w:pPr>
    </w:p>
    <w:p>
      <w:pPr>
        <w:jc w:val="both"/>
        <w:ind w:left="1080" w:right="100" w:hanging="424"/>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Pharma research and development services</w:t>
      </w:r>
      <w:r>
        <w:rPr>
          <w:rFonts w:ascii="Arial" w:cs="Arial" w:eastAsia="Arial" w:hAnsi="Arial"/>
          <w:sz w:val="18"/>
          <w:szCs w:val="18"/>
          <w:color w:val="auto"/>
        </w:rPr>
        <w:t>. Our revenue generated from pharma research and development services decreased by 17.2%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RMB14.7 million (US$2.3 million) for 2020 from RMB17.7 million for 2019, primarily attributable to declined pharmaceutical testing volumes.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Our cost of revenues increased by 7.0% to RMB116.0 million (US$17.8 million) for 2020 from RMB108.3 million for 2019. This increase was primarily attributable to an increase in cost of goods sold to RMB35.8 million (US$5.5 million) for 2020 from RMB29.5 million for 2019, and to a lesser extent, cost of services to RMB80.1 million (US$12.3 million) for 2020 from RMB78.8 million for 2019.</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increase in cost of revenues from 2019 to 2020 was primarily due to an increase in cost of revenues for our in-hospital business, which was in line with our business growth.</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gross profit increased by 14.8% to RMB313.9 million (US$48.1 million) for 2020 from RMB273.3 million for 2019, primarily due to (i) the continued growth of our central laboratory business and in-hospital business, and (ii) greater economies of scale. Our gross margin increased to 73.0% for 2020 from 71.6% for 2019.</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a breakdown of our gross profit and gross profit margin for the periods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center"/>
              <w:ind w:left="100"/>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00"/>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Gross profit</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Gross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RMB</w:t>
            </w:r>
          </w:p>
        </w:tc>
        <w:tc>
          <w:tcPr>
            <w:tcW w:w="124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RMB</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margin (%)</w:t>
            </w:r>
          </w:p>
        </w:tc>
        <w:tc>
          <w:tcPr>
            <w:tcW w:w="9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6"/>
          </w:tcPr>
          <w:p>
            <w:pPr>
              <w:jc w:val="center"/>
              <w:ind w:left="100"/>
              <w:spacing w:after="0" w:line="142" w:lineRule="exact"/>
              <w:rPr>
                <w:sz w:val="20"/>
                <w:szCs w:val="20"/>
                <w:color w:val="auto"/>
              </w:rPr>
            </w:pPr>
            <w:r>
              <w:rPr>
                <w:rFonts w:ascii="Arial" w:cs="Arial" w:eastAsia="Arial" w:hAnsi="Arial"/>
                <w:sz w:val="14"/>
                <w:szCs w:val="14"/>
                <w:b w:val="1"/>
                <w:bCs w:val="1"/>
                <w:color w:val="auto"/>
                <w:w w:val="92"/>
              </w:rPr>
              <w:t>(in thousands, except %)</w:t>
            </w: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 business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202,565</w:t>
            </w: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223,382</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34,235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In-hospital business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58,172</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66.3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82,023</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12,571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Pharma research and development services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12,597</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8,517</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273,334</w:t>
            </w:r>
          </w:p>
        </w:tc>
        <w:tc>
          <w:tcPr>
            <w:tcW w:w="20" w:type="dxa"/>
            <w:vAlign w:val="bottom"/>
            <w:tcBorders>
              <w:bottom w:val="single" w:sz="8" w:color="auto"/>
            </w:tcBorders>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71.6</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313,922</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48,111</w:t>
            </w: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research and development expenses increased by 68.2% to RMB263.9 million (US$40.5 million) for 2020 from RMB156.9 million for 2019, primarily due to (i) an increase in staff cost, mainly driven by the increased number of our research and development personnel, and (ii) an increase in share-based compensation expenses for options granted to research and development personnel.</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Selling and marketing expenses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Our selling and marketing expenses increased by 9.9% to RMB168.6 million (US$25.8 million) for 2020 from RMB153.3 million for 2019, primarily due to an increase in staff costs, as we continued to expand our sales and marketing teams to support the growth of our central laboratory business and in-hospital business. The number of our sales and marketing personnel increased from 287 as of December 31, 2019 to 386 as of December 31, 2020. Selling and marketing expenses as a percentage of total revenues decreased from 40.2% for 2019 to 39.2% for 2020, primarily due to our greater economies of scale.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Our general and administrative expenses increased significantly to RMB293.8 million (US$45.0 million) for 2020 from RMB132.2 million for 2019, primarily due to (i) an increase in share-based compensation expenses for options granted to general and administrative personnel, and (ii) an increase in staff cost of general and administrative personnel.</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Income, Net</w:t>
      </w:r>
    </w:p>
    <w:p>
      <w:pPr>
        <w:spacing w:after="0" w:line="11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Our interest income, net increased significantly to RMB5.4 million (US$0.8 million) for 2020 from RMB2.2 million for 2019, primarily due to a decrease in our interest expenses as a result of governmental subsidies on loan interests and lower average loan balances in 2020.</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Our net loss increased significantly to RMB407.2 million (US$62.4 million) for 2020 from RMB169.2 million for 2019, primarily due to an increase in general and administrative expenses and research and development expenses as mentioned above, which was in line with the continued growth of our business. The increase in net loss was partially offset by our increased total revenues.</w:t>
      </w:r>
    </w:p>
    <w:p>
      <w:pPr>
        <w:spacing w:after="0" w:line="180" w:lineRule="exact"/>
        <w:rPr>
          <w:sz w:val="20"/>
          <w:szCs w:val="20"/>
          <w:color w:val="auto"/>
        </w:rPr>
      </w:pPr>
    </w:p>
    <w:p>
      <w:pPr>
        <w:ind w:left="560" w:right="4640"/>
        <w:spacing w:after="0" w:line="377" w:lineRule="auto"/>
        <w:rPr>
          <w:sz w:val="20"/>
          <w:szCs w:val="20"/>
          <w:color w:val="auto"/>
        </w:rPr>
      </w:pPr>
      <w:r>
        <w:rPr>
          <w:rFonts w:ascii="Arial" w:cs="Arial" w:eastAsia="Arial" w:hAnsi="Arial"/>
          <w:sz w:val="18"/>
          <w:szCs w:val="18"/>
          <w:b w:val="1"/>
          <w:bCs w:val="1"/>
          <w:color w:val="auto"/>
        </w:rPr>
        <w:t xml:space="preserve">Year Ended December 31, 2019 Compared to Year Ended December 31, 2018 </w:t>
      </w:r>
      <w:r>
        <w:rPr>
          <w:rFonts w:ascii="Arial" w:cs="Arial" w:eastAsia="Arial" w:hAnsi="Arial"/>
          <w:sz w:val="18"/>
          <w:szCs w:val="18"/>
          <w:i w:val="1"/>
          <w:iCs w:val="1"/>
          <w:color w:val="auto"/>
        </w:rPr>
        <w:t>Revenues</w:t>
      </w:r>
    </w:p>
    <w:p>
      <w:pPr>
        <w:spacing w:after="0" w:line="2" w:lineRule="exact"/>
        <w:rPr>
          <w:sz w:val="20"/>
          <w:szCs w:val="20"/>
          <w:color w:val="auto"/>
        </w:rPr>
      </w:pPr>
    </w:p>
    <w:p>
      <w:pPr>
        <w:jc w:val="both"/>
        <w:ind w:left="120" w:right="540" w:firstLine="440"/>
        <w:spacing w:after="0" w:line="286" w:lineRule="auto"/>
        <w:rPr>
          <w:sz w:val="20"/>
          <w:szCs w:val="20"/>
          <w:color w:val="auto"/>
        </w:rPr>
      </w:pPr>
      <w:r>
        <w:rPr>
          <w:rFonts w:ascii="Arial" w:cs="Arial" w:eastAsia="Arial" w:hAnsi="Arial"/>
          <w:sz w:val="17"/>
          <w:szCs w:val="17"/>
          <w:color w:val="auto"/>
        </w:rPr>
        <w:t>Our revenues increased by 82.7% to RMB381.7 million for 2019 from RMB208.9 million for 2018, primarily attributable to an increase in revenues generated from services to RMB292.5 million for 2019 from RMB180.2 million for 2018, and to a lesser extent, revenues from sales of products to RMB89.2 million for 2019 from RMB28.7 million for 2018. We derived our revenues from three sources:</w:t>
      </w:r>
    </w:p>
    <w:p>
      <w:pPr>
        <w:spacing w:after="0" w:line="71" w:lineRule="exact"/>
        <w:rPr>
          <w:sz w:val="20"/>
          <w:szCs w:val="20"/>
          <w:color w:val="auto"/>
        </w:rPr>
      </w:pPr>
    </w:p>
    <w:p>
      <w:pPr>
        <w:ind w:left="1080" w:right="14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Central laboratory business</w:t>
      </w:r>
      <w:r>
        <w:rPr>
          <w:rFonts w:ascii="Arial" w:cs="Arial" w:eastAsia="Arial" w:hAnsi="Arial"/>
          <w:sz w:val="18"/>
          <w:szCs w:val="18"/>
          <w:color w:val="auto"/>
        </w:rPr>
        <w:t>. Our revenue generated from central laboratory business increased by 71.1% to RMB276.3 million for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RMB161.5 million for 2018, primarily attributable to the continued growth of our central laboratory business. In 2019, 23,075 patients took our tests, compared to 15,821 patients in 2018.</w:t>
      </w:r>
    </w:p>
    <w:p>
      <w:pPr>
        <w:spacing w:after="0" w:line="89" w:lineRule="exact"/>
        <w:rPr>
          <w:rFonts w:ascii="Arial" w:cs="Arial" w:eastAsia="Arial" w:hAnsi="Arial"/>
          <w:sz w:val="18"/>
          <w:szCs w:val="18"/>
          <w:color w:val="auto"/>
        </w:rPr>
      </w:pPr>
    </w:p>
    <w:p>
      <w:pPr>
        <w:ind w:left="1080" w:right="60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In-hospital business</w:t>
      </w:r>
      <w:r>
        <w:rPr>
          <w:rFonts w:ascii="Arial" w:cs="Arial" w:eastAsia="Arial" w:hAnsi="Arial"/>
          <w:sz w:val="18"/>
          <w:szCs w:val="18"/>
          <w:color w:val="auto"/>
        </w:rPr>
        <w:t>. Our revenue generated from in-hospital business increased significantly to RMB87.7 million for 2019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RMB33.2 million for 2018, primarily attributable to the expansion of our in-hospital business. The number of our partner hospitals increased from 26 as of December 31, 2018 to 40 as of December 31, 2019.</w:t>
      </w:r>
    </w:p>
    <w:p>
      <w:pPr>
        <w:spacing w:after="0" w:line="89"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Pharma research and development services</w:t>
      </w:r>
      <w:r>
        <w:rPr>
          <w:rFonts w:ascii="Arial" w:cs="Arial" w:eastAsia="Arial" w:hAnsi="Arial"/>
          <w:sz w:val="18"/>
          <w:szCs w:val="18"/>
          <w:color w:val="auto"/>
        </w:rPr>
        <w:t>. Our revenue generated from pharma research and development services increased by 24.8%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RMB17.7 million for 2019 from RMB14.2 million for 2018, primarily attributable to increased research and development services provided to pharmaceutical companies and hospitals.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cost of revenues increased by 46.8% to RMB108.3 million for 2019 from RMB73.8 million for 2018. This increase was primarily attributable to an increase in cost of services to RMB78.8 million for 2019 from RMB60.7 million for 2018, and to a lesser extent, cost of goods sold to RMB29.5 million for 2019 from RMB13.1 million for 2018.</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increase in cost of revenues from 2018 to 2019 was primarily due to an increase in cost of revenues for our central laboratory business, which was in line with our business growth.</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Our gross profit increased by 102.4% to RMB273.3 million for 2019 from RMB135.1 million for 2018, primarily due to (i) the continued growth of our central laboratory business, in-hospital business and pharma research and development services, (ii) greater economies of scale, and (iii) our recognition of breakage revenue of RMB14.7 million in 2019. Our gross margin increased to 71.6% for 2019 from 64.7% for 2018.</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a breakdown of our gross profit and gross profit margin for the periods indicated:</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701"/>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18"/>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84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RMB</w:t>
            </w:r>
          </w:p>
        </w:tc>
        <w:tc>
          <w:tcPr>
            <w:tcW w:w="12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Gross profit</w:t>
            </w:r>
          </w:p>
        </w:tc>
        <w:tc>
          <w:tcPr>
            <w:tcW w:w="500" w:type="dxa"/>
            <w:vAlign w:val="bottom"/>
          </w:tcPr>
          <w:p>
            <w:pPr>
              <w:spacing w:after="0"/>
              <w:rPr>
                <w:sz w:val="10"/>
                <w:szCs w:val="10"/>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RMB</w:t>
            </w:r>
          </w:p>
        </w:tc>
        <w:tc>
          <w:tcPr>
            <w:tcW w:w="11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Gross profit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margin (%)</w:t>
            </w:r>
          </w:p>
        </w:tc>
        <w:tc>
          <w:tcPr>
            <w:tcW w:w="720" w:type="dxa"/>
            <w:vAlign w:val="bottom"/>
            <w:gridSpan w:val="2"/>
            <w:vMerge w:val="continue"/>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(in thousands, except %)</w:t>
            </w:r>
          </w:p>
        </w:tc>
        <w:tc>
          <w:tcPr>
            <w:tcW w:w="11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 business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105,217</w:t>
            </w:r>
          </w:p>
        </w:tc>
        <w:tc>
          <w:tcPr>
            <w:tcW w:w="1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202,565</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In-hospital business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20,066</w:t>
            </w: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60.5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58,172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Pharma research and development services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9,776</w:t>
            </w:r>
          </w:p>
        </w:tc>
        <w:tc>
          <w:tcPr>
            <w:tcW w:w="1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12,597</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135,059</w:t>
            </w:r>
          </w:p>
        </w:tc>
        <w:tc>
          <w:tcPr>
            <w:tcW w:w="20" w:type="dxa"/>
            <w:vAlign w:val="bottom"/>
            <w:tcBorders>
              <w:bottom w:val="single" w:sz="8" w:color="auto"/>
            </w:tcBorders>
          </w:tcPr>
          <w:p>
            <w:pPr>
              <w:spacing w:after="0"/>
              <w:rPr>
                <w:sz w:val="19"/>
                <w:szCs w:val="19"/>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64.7</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273,334</w:t>
            </w:r>
          </w:p>
        </w:tc>
        <w:tc>
          <w:tcPr>
            <w:tcW w:w="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research and development expenses increased by 49.0% to RMB156.9 million for 2019 from RMB105.3 million for 2018, primarily due to</w:t>
      </w:r>
    </w:p>
    <w:p>
      <w:pPr>
        <w:spacing w:after="0" w:line="46" w:lineRule="exact"/>
        <w:rPr>
          <w:sz w:val="20"/>
          <w:szCs w:val="20"/>
          <w:color w:val="auto"/>
        </w:rPr>
      </w:pPr>
    </w:p>
    <w:p>
      <w:pPr>
        <w:ind w:left="120" w:right="200" w:hanging="4"/>
        <w:spacing w:after="0" w:line="260"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in staff cost, which was in line with the continued growth of our business, and (ii) an increase in cost of laboratory consumables as we conducted more clinical trials and research and development activities in 2019.</w:t>
      </w:r>
    </w:p>
    <w:p>
      <w:pPr>
        <w:spacing w:after="0" w:line="29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Selling and marketing expenses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selling and marketing expenses increased by 49.1% to RMB153.3 million for 2019 from RMB102.9 million for 2018, primarily due to an increase in staff costs, as we continued to expand our sales and marketing teams to support the growth of our central laboratory business and in-hospital business. The number of our sales and marketing personnel increased from 212 as of December 31, 2018 to 287 as of December 31, 2019. Selling and marketing expenses as a percentage of total revenues decreased from 49.2% for 2018 to 40.2% for 2019, primarily due to our greater economies of scale, as the growth of our revenues from 2018 to 2019 outpaced the growth of staff costs.</w:t>
      </w:r>
    </w:p>
    <w:p>
      <w:pPr>
        <w:spacing w:after="0" w:line="284"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general and administrative expenses increased by 49.7% to RMB132.2 million for 2019 from RMB88.3 million for 2018, primarily due to an increase in staff cost, which was in line with the continued growth of our business.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(Expense) Income, Net</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Our interest expense, net was RMB16.6 million for 2018, while we had interest income, net of RMB2.2 million for 2019. The change was primarily due to (i) an increase in interest income in relation to our short-term investment and personal loans we advanced to two executive officers, which have been fully repaid, and (ii) a decrease in interest expenses, which was primarily attributable to the conversion of our convertible notes into our Series C preferred shares in January 2019.</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Our net loss decreased by 4.7% to RMB169.2 million for 2019 from RMB177.5 million for 2018, primarily due to an increase in our gross profit as mentioned above. The decrease in net loss was partially offset by our increased research and development expenses, selling and marketing expenses as well as general and administrative expenses, which was in line with the continued growth of our business.</w:t>
      </w:r>
    </w:p>
    <w:p>
      <w:pPr>
        <w:spacing w:after="0" w:line="310"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principal sources of liquidity have been proceeds from our initial public offering and concurrent private placement and equity contributions from our shareholders. In June 2020, we completed our initial public offering in which we issued and sold an aggregate of 15,525,000 ADSs, representing 15,525,000 Class A ordinary shares, resulting in net proceeds to us of US$234.9 million. Concurrently with our initial public offering, we also raised US$25 million from Lake Bleu Prime Healthcare Master Fund Limited, by selling 1,515,151 Class A ordinary shares to it in a private placement.</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40"/>
          </w:cols>
          <w:pgMar w:left="320" w:top="459" w:right="5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of December 31, 2020, we had (i) cash and cash equivalents of RMB1,895.3 million (US$290.5 million), consisting of cash on hand and bank deposits, and (ii) short-term investment balances of RMB362.1 million (US$55.5 million).</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believe that our cash and cash equivalents, together with our cash generated from financing activities, our initial public offering and private placement, will be sufficient to meet our current and anticipated needs for general corporate purposes for at least the next 12 months. We may, however, decide to expand our business through additional equity and debt financing. The issuance and sale of additional equity would result in further dilution to our shareholders. The incurrence of indebtedness would result in increased fixed obligations and could result in operating covenants that would restrict our operations.</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Substantially all of our revenues in the foreseeable future are likely to continue to be denominated in Renminbi.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U.S. dollars to us without prior SAFE approval by following these routine procedural requirements. However, approval from or registration with competent government authorities is required where the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selected cash flow statement information for the periods indicated:</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2"/>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19"/>
        </w:trPr>
        <w:tc>
          <w:tcPr>
            <w:tcW w:w="6580" w:type="dxa"/>
            <w:vAlign w:val="bottom"/>
          </w:tcPr>
          <w:p>
            <w:pPr>
              <w:spacing w:after="0"/>
              <w:rPr>
                <w:sz w:val="10"/>
                <w:szCs w:val="10"/>
                <w:color w:val="auto"/>
              </w:rPr>
            </w:pPr>
          </w:p>
        </w:tc>
        <w:tc>
          <w:tcPr>
            <w:tcW w:w="7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60" w:type="dxa"/>
            <w:vAlign w:val="bottom"/>
          </w:tcPr>
          <w:p>
            <w:pPr>
              <w:jc w:val="right"/>
              <w:ind w:right="257"/>
              <w:spacing w:after="0" w:line="119" w:lineRule="exact"/>
              <w:rPr>
                <w:sz w:val="20"/>
                <w:szCs w:val="20"/>
                <w:color w:val="auto"/>
              </w:rPr>
            </w:pPr>
            <w:r>
              <w:rPr>
                <w:rFonts w:ascii="Arial" w:cs="Arial" w:eastAsia="Arial" w:hAnsi="Arial"/>
                <w:sz w:val="13"/>
                <w:szCs w:val="13"/>
                <w:b w:val="1"/>
                <w:bCs w:val="1"/>
                <w:color w:val="auto"/>
              </w:rPr>
              <w:t>RMB</w:t>
            </w:r>
          </w:p>
        </w:tc>
        <w:tc>
          <w:tcPr>
            <w:tcW w:w="820" w:type="dxa"/>
            <w:vAlign w:val="bottom"/>
          </w:tcPr>
          <w:p>
            <w:pPr>
              <w:jc w:val="right"/>
              <w:ind w:right="133"/>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64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r>
      <w:tr>
        <w:trPr>
          <w:trHeight w:val="171"/>
        </w:trPr>
        <w:tc>
          <w:tcPr>
            <w:tcW w:w="6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(148,780)</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5"/>
              </w:rPr>
              <w:t>(228,041)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(73,543)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(11,271)</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Net cash generated from (used in) investing activities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106,091</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w w:val="95"/>
              </w:rPr>
              <w:t>(346,660)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(109,312)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(16,752)</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83,393</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571,735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2,165,719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331,910</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w w:val="99"/>
              </w:rPr>
              <w:t>Effect of exchange rate changes on cash and cash equivalents and restricted cash</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5,876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(155,902)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(23,893)</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40,545</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2,910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1,826,962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279,994</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Cash and cash equivalents and restricted cash at the beginning of year</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54,789</w:t>
            </w: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95,334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98,244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15,057</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at the end of year</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95,334</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98,244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1,925,206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295,051</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Net cash used in operating activities for 2020 was RMB73.5 million (US$11.3 million), while our net loss for the same period was RMB407.2 million (US$62.4 million). The difference was primarily due to adjustment for non-cash and non-operating items of RMB221.6 million (US$34.0 million), primarily including share-based compensation of RMB173.2 million (US$26.5 million), depreciation and amortization of RMB33.3 million (US$5.1 million), and changes in working capital. The changes in working capital primarily reflected (i) a decrease in amount due from related parties of RMB 75.2 million (US$11.5 million), primary as a result of repayment of loan to executive officers, and (ii) an increase in accrued liabilities and other current liabilities of RMB29.6 million (US$4.5 million), primarily attributable to increased payroll payables and accrued reimbursement expenses, (iii) an increase in account payable of RMB25.8 million (US$4.0 million) primarily as a result of growth of procurement in the fourth quarter of 2020 compared to the same period of 2019, and (iv) an increase in deferred revenue of RMB24.9 million (US$3.8 million) primarily as a result of our overall business growth, partially offset by an increase in contract assets of RMB25.1 million (US$3.9 million) which was in line with our business growth.</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Net cash used in operating activities for 2019 was RMB228.0 million, while our net loss for the same period was RMB169.2 million. The difference was primarily due to adjustment for non-cash and non-operating items of RMB71.6 million, primarily including depreciation and amortization of RMB31.4 million, share-based compensation of RMB22.8 million, and allowance for doubtful accounts of RMB11.9 million, and changes in working capital. The changes in working capital primarily reflected (i) an increase in accounts receivable of RMB65.9 million, primarily as a result of our overall business growth, (ii) an increase in amounts due from related parties of RMB56.2 million, which mainly represented personal loans we advanced to two executive officers, which have been fully repaid, (iii) an increase in prepayments and other current assets of RMB14.6 million, primarily attributable to our increased deductible value-added tax and interest receivables and deferred IPO costs, which was partially offset by an increase in accrued liabilities and other current liabilities of RMB25.8 million, primarily attributable to our increased payroll payables and professional service fees payables.</w:t>
      </w:r>
    </w:p>
    <w:p>
      <w:pPr>
        <w:spacing w:after="0" w:line="196"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Net cash used in operating activities for 2018 was RMB148.8 million, while our net loss for the same period was RMB177.5 million. The difference was primarily due to adjustment for non-cash and non-operating items of RMB34.9 million, primarily including depreciation and amortization of RMB24.7 million, and changes in working capital. The changes in working capital primarily reflected (i) an increase in inventories of RMB32.3 million, primarily as a result of our overall business growth, and (ii) an increase in prepayments and other current assets of RMB20.2 million, primarily attributable to our increased deductible value-added tax and prepaid expenses in relation to the procurement of laboratory equipment and raw materials, which was partially offset by an increase of RMB27.3 million in our deferred revenue, as a result of our overall business growth.</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Net cash used in investing activities for 2020 was RMB109.3 million (US$16.8 million), primarily due to purchase of short-term investment of RMB348.4 million (US$53.4 million) and purchase of property and equipment of RMB60.3 million (US$9.2 million), partially offset by the proceeds from maturity of short-term investment of RMB318.0 million (US$48.3 million).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cash used in investing activities for 2019 was RMB346.7 million, primarily due to purchase of short-term investment of RMB369.9 million.</w:t>
      </w:r>
    </w:p>
    <w:p>
      <w:pPr>
        <w:spacing w:after="0" w:line="24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Net cash generated from investing activities for 2018 was RMB106.1 million, primarily due to proceeds from maturity of short-term investments of RMB130.7 million, which was partially offset by purchase of property and equipment of RMB23.2 million.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Net cash generated from financing activities for 2020 was RMB2,165.7 million (US$331.9 million), primarily due to (i) proceeds from our initial public offering and the concurrent private placement, net of issuance costs, of RMB1,851.9 million (US$283.8 million) and (ii) proceeds from issuance of convertible preferred shares and exercise of warrant of RMB270.0 million (US$41.4 million). This cash inflow was partially offset by the cash outflow of repayment of long-term borrowings of RMB38.9 million (US$6.0 million).</w:t>
      </w:r>
    </w:p>
    <w:p>
      <w:pPr>
        <w:spacing w:after="0" w:line="187"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Net cash generated from financing activities for 2019 was RMB571.7 million, primarily due to proceeds from issuance of convertible preferred shares and warrant of RMB657.5 million and proceeds from long-term borrowings of RMB14.7 million. This cash inflow was partially offset by the cash outflow of (i) repayment of long-term borrowings of RMB87.0 million, and (ii) repayment of short-term borrowings of RMB4.6 million.</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Net cash generated from financing activities for 2018 was RMB83.4 million, primarily due to proceeds from long-term borrowings of RMB96.6 million and proceeds from issuance of convertible preferred shares of RMB2.0 million. This cash inflow was partially offset by the cash outflow of (i) repayment of long-term borrowings of RMB8.2 million, (ii) repayment of short-term borrowings of RMB3.0 million, and (iii) capital lease obligation payments of RMB2.5 million for certain laboratory equipment.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September 2019, we entered into a banking facility agreement for a term of two years with China Merchants Bank, pursuant to which we are entitled to borrow up to RMB33 million (US$5.1 million) at an interest rate separately agreed with the bank at each time of drawdown. The loan was intended for general working capital purposes. In December 2019, we drew down RMB14.7 million at a fixed annual interest rate of 4.28% which is due in September 2021. During the year ended December 31, 2020, we drew down an additional RMB18.2 million (US$2.8 million) at a fixed annual interest rate of 4.28% which is due in September 2021, and we repaid the principal of RMB1.8 million (US$0.3 million).</w:t>
      </w:r>
    </w:p>
    <w:p>
      <w:pPr>
        <w:spacing w:after="0" w:line="17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May 2018, we made two three-year financing arrangements with Zhongguancun Technology Leasing Co., Ltd., which bore an interest rate of 5.8% and were secured by certain machinery and laboratory equipment with an original cost of RMB32.4 million. Under these arrangements, we make repayments quarterly with total amounts of RMB20.3 million (US$3.1 million) and RMB1.6 million (US$0.2 million), respectively, until May 2021. As of December 31, 2021, the outstanding liability associated with these financing arrangements, net of debt issuance costs, totaled approximately RMB3.3 million (US$0.5 million) and RMB0.3 million (US$0.1 million),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capital expenditures were RMB23.3 million, RMB43.4 million and RMB64.3 million (US$9.8 million) for 2018, 2019 and 2020, respectively. These capital expenditures included the purchase of property, equipment and computer software. We will continue to make capital expenditures to meet the needs of our business’ expected growth. We intend to fund our future capital expenditure with our existing cash balance and proceeds from our initial public offering and the concurrent private placement.</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a holding company with no material operations of its own. We conduct our NGS-based cancer therapy selection business primarily through our VIE’s subsidiaries in China. As a result, our ability to pay dividends depends upon dividends paid by our WFOE. If our WFOE or any newly formed PRC subsidiaries incur debt on their own behalf in the future, the instruments governing their debt may restrict their ability to pay dividends to us. In addition, our WFOE is permitted to pay dividends to us only out of its retained earnings, if any, as determined in accordance with PRC accounting standards and regulations. Under PRC law, each of our WFOE, VIE and their respective subsidiaries is required to set aside at least 10% of its after-tax profits each year, if any, to fund certain statutory reserve funds until such reserve funds reach 50% of its registered capital. In addition, our WFOE may allocate a portion of its after-tax profits based on PRC accounting standards to enterprise expansion funds and staff bonus and welfare funds at its discretion, and our VIE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Our WFOE has not paid any dividends and will not be able to pay dividends until it generates accumulated profits and meets the requirements for statutory reserve funds.</w:t>
      </w:r>
    </w:p>
    <w:p>
      <w:pPr>
        <w:spacing w:after="0" w:line="195"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etc.</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4. Information on the Company—B. Business Overview—Research and Development” and “—Intellectual Property”.</w:t>
      </w:r>
    </w:p>
    <w:p>
      <w:pPr>
        <w:spacing w:after="0" w:line="370"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Other than as disclosed elsewhere in this annual report, we are not aware of any trends, uncertainties, demands, commitments or events for the current fiscal year that are reasonably likely to have a material adverse effect on our net revenues, income, profitability, liquidity or capital resources, or that caused the disclosed financial information to be not necessarily indicative of future operating results or financial conditions.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have not entered into any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306"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our contractual obligations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center"/>
              <w:ind w:left="98"/>
              <w:spacing w:after="0"/>
              <w:rPr>
                <w:sz w:val="20"/>
                <w:szCs w:val="20"/>
                <w:color w:val="auto"/>
              </w:rPr>
            </w:pPr>
            <w:r>
              <w:rPr>
                <w:rFonts w:ascii="Arial" w:cs="Arial" w:eastAsia="Arial" w:hAnsi="Arial"/>
                <w:sz w:val="14"/>
                <w:szCs w:val="14"/>
                <w:b w:val="1"/>
                <w:bCs w:val="1"/>
                <w:color w:val="auto"/>
                <w:w w:val="91"/>
              </w:rPr>
              <w:t>Payments due by period</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20" w:type="dxa"/>
            <w:vAlign w:val="bottom"/>
          </w:tcPr>
          <w:p>
            <w:pPr>
              <w:spacing w:after="0"/>
              <w:rPr>
                <w:sz w:val="10"/>
                <w:szCs w:val="10"/>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980" w:type="dxa"/>
            <w:vAlign w:val="bottom"/>
          </w:tcPr>
          <w:p>
            <w:pPr>
              <w:jc w:val="right"/>
              <w:ind w:right="258"/>
              <w:spacing w:after="0" w:line="119" w:lineRule="exact"/>
              <w:rPr>
                <w:sz w:val="20"/>
                <w:szCs w:val="20"/>
                <w:color w:val="auto"/>
              </w:rPr>
            </w:pPr>
            <w:r>
              <w:rPr>
                <w:rFonts w:ascii="Arial" w:cs="Arial" w:eastAsia="Arial" w:hAnsi="Arial"/>
                <w:sz w:val="13"/>
                <w:szCs w:val="13"/>
                <w:b w:val="1"/>
                <w:bCs w:val="1"/>
                <w:color w:val="auto"/>
              </w:rPr>
              <w:t>1-3</w:t>
            </w:r>
          </w:p>
        </w:tc>
        <w:tc>
          <w:tcPr>
            <w:tcW w:w="800" w:type="dxa"/>
            <w:vAlign w:val="bottom"/>
          </w:tcPr>
          <w:p>
            <w:pPr>
              <w:jc w:val="right"/>
              <w:ind w:right="237"/>
              <w:spacing w:after="0" w:line="119" w:lineRule="exact"/>
              <w:rPr>
                <w:sz w:val="20"/>
                <w:szCs w:val="20"/>
                <w:color w:val="auto"/>
              </w:rPr>
            </w:pPr>
            <w:r>
              <w:rPr>
                <w:rFonts w:ascii="Arial" w:cs="Arial" w:eastAsia="Arial" w:hAnsi="Arial"/>
                <w:sz w:val="13"/>
                <w:szCs w:val="13"/>
                <w:b w:val="1"/>
                <w:bCs w:val="1"/>
                <w:color w:val="auto"/>
              </w:rPr>
              <w:t>3-5</w:t>
            </w:r>
          </w:p>
        </w:tc>
        <w:tc>
          <w:tcPr>
            <w:tcW w:w="880" w:type="dxa"/>
            <w:vAlign w:val="bottom"/>
          </w:tcPr>
          <w:p>
            <w:pPr>
              <w:ind w:left="140"/>
              <w:spacing w:after="0" w:line="119" w:lineRule="exact"/>
              <w:rPr>
                <w:sz w:val="20"/>
                <w:szCs w:val="20"/>
                <w:color w:val="auto"/>
              </w:rPr>
            </w:pPr>
            <w:r>
              <w:rPr>
                <w:rFonts w:ascii="Arial" w:cs="Arial" w:eastAsia="Arial" w:hAnsi="Arial"/>
                <w:sz w:val="13"/>
                <w:szCs w:val="13"/>
                <w:b w:val="1"/>
                <w:bCs w:val="1"/>
                <w:color w:val="auto"/>
                <w:w w:val="97"/>
              </w:rPr>
              <w:t>more than 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 year</w:t>
            </w:r>
          </w:p>
        </w:tc>
        <w:tc>
          <w:tcPr>
            <w:tcW w:w="980" w:type="dxa"/>
            <w:vAlign w:val="bottom"/>
          </w:tcPr>
          <w:p>
            <w:pPr>
              <w:jc w:val="center"/>
              <w:ind w:left="18"/>
              <w:spacing w:after="0"/>
              <w:rPr>
                <w:sz w:val="20"/>
                <w:szCs w:val="20"/>
                <w:color w:val="auto"/>
              </w:rPr>
            </w:pPr>
            <w:r>
              <w:rPr>
                <w:rFonts w:ascii="Arial" w:cs="Arial" w:eastAsia="Arial" w:hAnsi="Arial"/>
                <w:sz w:val="14"/>
                <w:szCs w:val="14"/>
                <w:b w:val="1"/>
                <w:bCs w:val="1"/>
                <w:color w:val="auto"/>
                <w:w w:val="87"/>
              </w:rPr>
              <w:t>years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940" w:type="dxa"/>
            <w:vAlign w:val="bottom"/>
            <w:gridSpan w:val="2"/>
          </w:tcPr>
          <w:p>
            <w:pPr>
              <w:ind w:left="34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2"/>
          </w:tcPr>
          <w:p>
            <w:pPr>
              <w:jc w:val="center"/>
              <w:ind w:right="417"/>
              <w:spacing w:after="0" w:line="142" w:lineRule="exact"/>
              <w:rPr>
                <w:sz w:val="20"/>
                <w:szCs w:val="20"/>
                <w:color w:val="auto"/>
              </w:rPr>
            </w:pPr>
            <w:r>
              <w:rPr>
                <w:rFonts w:ascii="Arial" w:cs="Arial" w:eastAsia="Arial" w:hAnsi="Arial"/>
                <w:sz w:val="14"/>
                <w:szCs w:val="14"/>
                <w:b w:val="1"/>
                <w:bCs w:val="1"/>
                <w:color w:val="auto"/>
                <w:w w:val="93"/>
              </w:rPr>
              <w:t>(RMB in thousands)</w:t>
            </w: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r>
              <w:rPr>
                <w:rFonts w:ascii="Arial" w:cs="Arial" w:eastAsia="Arial" w:hAnsi="Arial"/>
                <w:sz w:val="15"/>
                <w:szCs w:val="15"/>
                <w:color w:val="auto"/>
              </w:rPr>
              <w:t>(1)</w:t>
            </w: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8"/>
              </w:rPr>
              <w:t>34,695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34,695</w:t>
            </w:r>
          </w:p>
        </w:tc>
        <w:tc>
          <w:tcPr>
            <w:tcW w:w="980" w:type="dxa"/>
            <w:vAlign w:val="bottom"/>
            <w:shd w:val="clear" w:color="auto" w:fill="CCEEFF"/>
          </w:tcPr>
          <w:p>
            <w:pPr>
              <w:jc w:val="center"/>
              <w:ind w:left="238"/>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(2)</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w w:val="98"/>
              </w:rPr>
              <w:t>56,222</w:t>
            </w:r>
          </w:p>
        </w:tc>
        <w:tc>
          <w:tcPr>
            <w:tcW w:w="680" w:type="dxa"/>
            <w:vAlign w:val="bottom"/>
          </w:tcPr>
          <w:p>
            <w:pPr>
              <w:jc w:val="right"/>
              <w:spacing w:after="0"/>
              <w:rPr>
                <w:sz w:val="20"/>
                <w:szCs w:val="20"/>
                <w:color w:val="auto"/>
              </w:rPr>
            </w:pPr>
            <w:r>
              <w:rPr>
                <w:rFonts w:ascii="Arial" w:cs="Arial" w:eastAsia="Arial" w:hAnsi="Arial"/>
                <w:sz w:val="18"/>
                <w:szCs w:val="18"/>
                <w:color w:val="auto"/>
              </w:rPr>
              <w:t>16,095</w:t>
            </w:r>
          </w:p>
        </w:tc>
        <w:tc>
          <w:tcPr>
            <w:tcW w:w="980" w:type="dxa"/>
            <w:vAlign w:val="bottom"/>
          </w:tcPr>
          <w:p>
            <w:pPr>
              <w:jc w:val="right"/>
              <w:ind w:right="78"/>
              <w:spacing w:after="0"/>
              <w:rPr>
                <w:sz w:val="20"/>
                <w:szCs w:val="20"/>
                <w:color w:val="auto"/>
              </w:rPr>
            </w:pPr>
            <w:r>
              <w:rPr>
                <w:rFonts w:ascii="Arial" w:cs="Arial" w:eastAsia="Arial" w:hAnsi="Arial"/>
                <w:sz w:val="18"/>
                <w:szCs w:val="18"/>
                <w:color w:val="auto"/>
              </w:rPr>
              <w:t>30,100</w:t>
            </w:r>
          </w:p>
        </w:tc>
        <w:tc>
          <w:tcPr>
            <w:tcW w:w="800" w:type="dxa"/>
            <w:vAlign w:val="bottom"/>
          </w:tcPr>
          <w:p>
            <w:pPr>
              <w:jc w:val="right"/>
              <w:ind w:right="57"/>
              <w:spacing w:after="0"/>
              <w:rPr>
                <w:sz w:val="20"/>
                <w:szCs w:val="20"/>
                <w:color w:val="auto"/>
              </w:rPr>
            </w:pPr>
            <w:r>
              <w:rPr>
                <w:rFonts w:ascii="Arial" w:cs="Arial" w:eastAsia="Arial" w:hAnsi="Arial"/>
                <w:sz w:val="18"/>
                <w:szCs w:val="18"/>
                <w:color w:val="auto"/>
              </w:rPr>
              <w:t>10,027</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15"/>
                <w:szCs w:val="15"/>
                <w:color w:val="auto"/>
              </w:rPr>
              <w:t>(3)</w:t>
            </w: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5,111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980" w:type="dxa"/>
            <w:vAlign w:val="bottom"/>
            <w:shd w:val="clear" w:color="auto" w:fill="CCEEFF"/>
          </w:tcPr>
          <w:p>
            <w:pPr>
              <w:jc w:val="center"/>
              <w:ind w:left="238"/>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Capital commitments</w:t>
            </w:r>
            <w:r>
              <w:rPr>
                <w:rFonts w:ascii="Arial" w:cs="Arial" w:eastAsia="Arial" w:hAnsi="Arial"/>
                <w:sz w:val="15"/>
                <w:szCs w:val="15"/>
                <w:color w:val="auto"/>
              </w:rPr>
              <w:t>(4)</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1,540</w:t>
            </w:r>
          </w:p>
        </w:tc>
        <w:tc>
          <w:tcPr>
            <w:tcW w:w="680" w:type="dxa"/>
            <w:vAlign w:val="bottom"/>
          </w:tcPr>
          <w:p>
            <w:pPr>
              <w:jc w:val="right"/>
              <w:spacing w:after="0"/>
              <w:rPr>
                <w:sz w:val="20"/>
                <w:szCs w:val="20"/>
                <w:color w:val="auto"/>
              </w:rPr>
            </w:pPr>
            <w:r>
              <w:rPr>
                <w:rFonts w:ascii="Arial" w:cs="Arial" w:eastAsia="Arial" w:hAnsi="Arial"/>
                <w:sz w:val="18"/>
                <w:szCs w:val="18"/>
                <w:color w:val="auto"/>
              </w:rPr>
              <w:t>1,540</w:t>
            </w:r>
          </w:p>
        </w:tc>
        <w:tc>
          <w:tcPr>
            <w:tcW w:w="980" w:type="dxa"/>
            <w:vAlign w:val="bottom"/>
          </w:tcPr>
          <w:p>
            <w:pPr>
              <w:jc w:val="center"/>
              <w:ind w:left="238"/>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320" w:hanging="424"/>
        <w:spacing w:after="0" w:line="258" w:lineRule="auto"/>
        <w:tabs>
          <w:tab w:leader="none" w:pos="540" w:val="left"/>
        </w:tabs>
        <w:numPr>
          <w:ilvl w:val="0"/>
          <w:numId w:val="53"/>
        </w:numPr>
        <w:rPr>
          <w:rFonts w:ascii="Arial" w:cs="Arial" w:eastAsia="Arial" w:hAnsi="Arial"/>
          <w:sz w:val="15"/>
          <w:szCs w:val="15"/>
          <w:color w:val="auto"/>
        </w:rPr>
      </w:pPr>
      <w:r>
        <w:rPr>
          <w:rFonts w:ascii="Arial" w:cs="Arial" w:eastAsia="Arial" w:hAnsi="Arial"/>
          <w:sz w:val="18"/>
          <w:szCs w:val="18"/>
          <w:color w:val="auto"/>
        </w:rPr>
        <w:t>Long-term borrowings consist of credit facilities and financing arrangements with Zhongguancun Technology Leasing Co., Ltd. See “—Long-term borrowings.”</w:t>
      </w:r>
    </w:p>
    <w:p>
      <w:pPr>
        <w:spacing w:after="0" w:line="1" w:lineRule="exact"/>
        <w:rPr>
          <w:rFonts w:ascii="Arial" w:cs="Arial" w:eastAsia="Arial" w:hAnsi="Arial"/>
          <w:sz w:val="15"/>
          <w:szCs w:val="15"/>
          <w:color w:val="auto"/>
        </w:rPr>
      </w:pPr>
    </w:p>
    <w:p>
      <w:pPr>
        <w:ind w:left="540" w:hanging="424"/>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8"/>
          <w:szCs w:val="18"/>
          <w:color w:val="auto"/>
        </w:rPr>
        <w:t>Operating lease commitments consist of commitments under the lease agreements for certain office space.</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8"/>
          <w:szCs w:val="18"/>
          <w:color w:val="auto"/>
        </w:rPr>
        <w:t>Capital lease obligations primarily consist of our leases for certain laboratory equipment.</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8"/>
          <w:szCs w:val="18"/>
          <w:color w:val="auto"/>
        </w:rPr>
        <w:t>Capital commitments refer to capital expenditure commitments for leasehold improvements for our central laboratory.</w:t>
      </w:r>
    </w:p>
    <w:p>
      <w:pPr>
        <w:spacing w:after="0" w:line="211"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Other than those shown above, we did not have any significant capital and other commitments, long-term obligations or guarantees as of December 31, 2020.</w:t>
      </w:r>
    </w:p>
    <w:p>
      <w:pPr>
        <w:spacing w:after="0" w:line="315"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Safe Harbor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“Forward-Looking Statements” in this annual report.</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6. DIRECTORS, SENIOR MANANGEMENT AND EMPLOYEES</w:t>
      </w:r>
    </w:p>
    <w:p>
      <w:pPr>
        <w:spacing w:after="0" w:line="131"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annual report.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3440" w:type="dxa"/>
            <w:vAlign w:val="bottom"/>
          </w:tcPr>
          <w:p>
            <w:pPr>
              <w:spacing w:after="0"/>
              <w:rPr>
                <w:sz w:val="16"/>
                <w:szCs w:val="16"/>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Age</w:t>
            </w:r>
          </w:p>
        </w:tc>
        <w:tc>
          <w:tcPr>
            <w:tcW w:w="5120" w:type="dxa"/>
            <w:vAlign w:val="bottom"/>
          </w:tcPr>
          <w:p>
            <w:pPr>
              <w:ind w:left="2160"/>
              <w:spacing w:after="0"/>
              <w:rPr>
                <w:sz w:val="20"/>
                <w:szCs w:val="20"/>
                <w:color w:val="auto"/>
              </w:rPr>
            </w:pPr>
            <w:r>
              <w:rPr>
                <w:rFonts w:ascii="Arial" w:cs="Arial" w:eastAsia="Arial" w:hAnsi="Arial"/>
                <w:sz w:val="14"/>
                <w:szCs w:val="14"/>
                <w:b w:val="1"/>
                <w:bCs w:val="1"/>
                <w:color w:val="auto"/>
              </w:rPr>
              <w:t>Position/Title</w:t>
            </w:r>
          </w:p>
        </w:tc>
      </w:tr>
      <w:tr>
        <w:trPr>
          <w:trHeight w:val="189"/>
        </w:trPr>
        <w:tc>
          <w:tcPr>
            <w:tcW w:w="2000" w:type="dxa"/>
            <w:vAlign w:val="bottom"/>
          </w:tcPr>
          <w:p>
            <w:pPr>
              <w:spacing w:after="0" w:line="189" w:lineRule="exact"/>
              <w:rPr>
                <w:sz w:val="20"/>
                <w:szCs w:val="20"/>
                <w:color w:val="auto"/>
              </w:rPr>
            </w:pPr>
            <w:r>
              <w:rPr>
                <w:rFonts w:ascii="Arial" w:cs="Arial" w:eastAsia="Arial" w:hAnsi="Arial"/>
                <w:sz w:val="18"/>
                <w:szCs w:val="18"/>
                <w:color w:val="auto"/>
              </w:rPr>
              <w:t>Yusheng Han</w:t>
            </w:r>
          </w:p>
        </w:tc>
        <w:tc>
          <w:tcPr>
            <w:tcW w:w="3440" w:type="dxa"/>
            <w:vAlign w:val="bottom"/>
          </w:tcPr>
          <w:p>
            <w:pPr>
              <w:spacing w:after="0"/>
              <w:rPr>
                <w:sz w:val="16"/>
                <w:szCs w:val="16"/>
                <w:color w:val="auto"/>
              </w:rPr>
            </w:pPr>
          </w:p>
        </w:tc>
        <w:tc>
          <w:tcPr>
            <w:tcW w:w="2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6"/>
                <w:szCs w:val="16"/>
                <w:color w:val="auto"/>
              </w:rPr>
            </w:pPr>
          </w:p>
        </w:tc>
        <w:tc>
          <w:tcPr>
            <w:tcW w:w="5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1"/>
              </w:rPr>
              <w:t>Founder, chairman of the board of directors and chief executive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w w:val="93"/>
              </w:rPr>
              <w:t>Shaokun (Shannon) Chuai</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41</w:t>
            </w:r>
          </w:p>
        </w:tc>
        <w:tc>
          <w:tcPr>
            <w:tcW w:w="5120" w:type="dxa"/>
            <w:vAlign w:val="bottom"/>
          </w:tcPr>
          <w:p>
            <w:pPr>
              <w:spacing w:after="0"/>
              <w:rPr>
                <w:sz w:val="20"/>
                <w:szCs w:val="20"/>
                <w:color w:val="auto"/>
              </w:rPr>
            </w:pPr>
            <w:r>
              <w:rPr>
                <w:rFonts w:ascii="Arial" w:cs="Arial" w:eastAsia="Arial" w:hAnsi="Arial"/>
                <w:sz w:val="18"/>
                <w:szCs w:val="18"/>
                <w:color w:val="auto"/>
              </w:rPr>
              <w:t>Director and chief operating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Leo Li</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36</w:t>
            </w:r>
          </w:p>
        </w:tc>
        <w:tc>
          <w:tcPr>
            <w:tcW w:w="5120" w:type="dxa"/>
            <w:vAlign w:val="bottom"/>
          </w:tcPr>
          <w:p>
            <w:pPr>
              <w:spacing w:after="0"/>
              <w:rPr>
                <w:sz w:val="20"/>
                <w:szCs w:val="20"/>
                <w:color w:val="auto"/>
              </w:rPr>
            </w:pPr>
            <w:r>
              <w:rPr>
                <w:rFonts w:ascii="Arial" w:cs="Arial" w:eastAsia="Arial" w:hAnsi="Arial"/>
                <w:sz w:val="18"/>
                <w:szCs w:val="18"/>
                <w:color w:val="auto"/>
              </w:rPr>
              <w:t>Director and chief financial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Gang Lu</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49</w:t>
            </w:r>
          </w:p>
        </w:tc>
        <w:tc>
          <w:tcPr>
            <w:tcW w:w="51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Feng Deng</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57</w:t>
            </w:r>
          </w:p>
        </w:tc>
        <w:tc>
          <w:tcPr>
            <w:tcW w:w="51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Yunxia Yang</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47</w:t>
            </w:r>
          </w:p>
        </w:tc>
        <w:tc>
          <w:tcPr>
            <w:tcW w:w="51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Jing Rong</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39</w:t>
            </w:r>
          </w:p>
        </w:tc>
        <w:tc>
          <w:tcPr>
            <w:tcW w:w="51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Wendy Hayes</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51</w:t>
            </w:r>
          </w:p>
        </w:tc>
        <w:tc>
          <w:tcPr>
            <w:tcW w:w="512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Min-Jui Richard Shen</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56</w:t>
            </w:r>
          </w:p>
        </w:tc>
        <w:tc>
          <w:tcPr>
            <w:tcW w:w="512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Zhihong (Joe) Zhang</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45</w:t>
            </w:r>
          </w:p>
        </w:tc>
        <w:tc>
          <w:tcPr>
            <w:tcW w:w="512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Hao Liu</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47</w:t>
            </w:r>
          </w:p>
        </w:tc>
        <w:tc>
          <w:tcPr>
            <w:tcW w:w="512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364"/>
        </w:trPr>
        <w:tc>
          <w:tcPr>
            <w:tcW w:w="2000" w:type="dxa"/>
            <w:vAlign w:val="bottom"/>
          </w:tcPr>
          <w:p>
            <w:pPr>
              <w:spacing w:after="0"/>
              <w:rPr>
                <w:sz w:val="24"/>
                <w:szCs w:val="24"/>
                <w:color w:val="auto"/>
              </w:rPr>
            </w:pPr>
          </w:p>
        </w:tc>
        <w:tc>
          <w:tcPr>
            <w:tcW w:w="3700" w:type="dxa"/>
            <w:vAlign w:val="bottom"/>
            <w:gridSpan w:val="2"/>
          </w:tcPr>
          <w:p>
            <w:pPr>
              <w:jc w:val="right"/>
              <w:ind w:right="19"/>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 xml:space="preserve">Mr. Yusheng Han </w:t>
      </w:r>
      <w:r>
        <w:rPr>
          <w:rFonts w:ascii="Arial" w:cs="Arial" w:eastAsia="Arial" w:hAnsi="Arial"/>
          <w:sz w:val="17"/>
          <w:szCs w:val="17"/>
          <w:color w:val="auto"/>
        </w:rPr>
        <w:t>is our founder, chairman of the board of directors and chief executive officer. Mr. Han has 16 year of experience in life science.</w:t>
      </w:r>
      <w:r>
        <w:rPr>
          <w:rFonts w:ascii="Arial" w:cs="Arial" w:eastAsia="Arial" w:hAnsi="Arial"/>
          <w:sz w:val="17"/>
          <w:szCs w:val="17"/>
          <w:i w:val="1"/>
          <w:iCs w:val="1"/>
          <w:color w:val="auto"/>
        </w:rPr>
        <w:t xml:space="preserve"> </w:t>
      </w:r>
      <w:r>
        <w:rPr>
          <w:rFonts w:ascii="Arial" w:cs="Arial" w:eastAsia="Arial" w:hAnsi="Arial"/>
          <w:sz w:val="17"/>
          <w:szCs w:val="17"/>
          <w:color w:val="auto"/>
        </w:rPr>
        <w:t>From June 2011 to November 2013, he was an associate in Northern Light Venture Capital where he focused on investment in the healthcare industry and helped the firm invest in successful companies. From July 2005 to May 2009, Mr. Han worked at BioTek Instruments, Inc. as its general manager in China. During his term with BioTek Instruments China, he built and led teams across marketing, sales and post-sale. From September 2003 to May 2005, he served as the product specialist of Gene Company Limited. Mr. Han received a bachelor’s degree in biochemistry from Jilin University in July 2000, and a master’s degree in cell biology in Peking Union Medical College in June 2003. He obtained a Master of Business Administration degree from Columbia Business School in May 2011.</w:t>
      </w:r>
    </w:p>
    <w:p>
      <w:pPr>
        <w:spacing w:after="0" w:line="17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 xml:space="preserve">Dr. Shaokun (Shannon) Chuai </w:t>
      </w:r>
      <w:r>
        <w:rPr>
          <w:rFonts w:ascii="Arial" w:cs="Arial" w:eastAsia="Arial" w:hAnsi="Arial"/>
          <w:sz w:val="17"/>
          <w:szCs w:val="17"/>
          <w:color w:val="auto"/>
        </w:rPr>
        <w:t>has served as our director since August 2016. Dr. Chuai joined us as chief technology officer in May 2014 and she</w:t>
      </w:r>
      <w:r>
        <w:rPr>
          <w:rFonts w:ascii="Arial" w:cs="Arial" w:eastAsia="Arial" w:hAnsi="Arial"/>
          <w:sz w:val="17"/>
          <w:szCs w:val="17"/>
          <w:i w:val="1"/>
          <w:iCs w:val="1"/>
          <w:color w:val="auto"/>
        </w:rPr>
        <w:t xml:space="preserve"> </w:t>
      </w:r>
      <w:r>
        <w:rPr>
          <w:rFonts w:ascii="Arial" w:cs="Arial" w:eastAsia="Arial" w:hAnsi="Arial"/>
          <w:sz w:val="17"/>
          <w:szCs w:val="17"/>
          <w:color w:val="auto"/>
        </w:rPr>
        <w:t>was appointed the chief operating officer in March 2016. Prior to joining us, she worked at China Novartis Institutes for BioMedical Research (CNIBR), responsible for the bioinformatics and translational research platform, and Novartis Oncology as the principal statistician for phase III clinical trials of targeted drugs. From June 2003 to June 2005, she worked at Memorial Sloan-Kettering Cancer Center as research statistician, responsible for omics data mining and clinical trial design. Dr. Chuai holds a bachelor’s degree from Nankai University, a master’s degree in statistics and applied mathematics from Texas A&amp;M University, and a Ph.D. degree in biostatistics from the University of Pennsylvania.</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i w:val="1"/>
          <w:iCs w:val="1"/>
          <w:color w:val="auto"/>
        </w:rPr>
        <w:t xml:space="preserve">Mr. Leo Li </w:t>
      </w:r>
      <w:r>
        <w:rPr>
          <w:rFonts w:ascii="Arial" w:cs="Arial" w:eastAsia="Arial" w:hAnsi="Arial"/>
          <w:sz w:val="18"/>
          <w:szCs w:val="18"/>
          <w:color w:val="auto"/>
        </w:rPr>
        <w:t>has served as our chief financial officer since the third quarter of 2019 and our director since the first quarter of 2020.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us, Mr. Li served as the chief financial officer of Weidai Ltd., a NYSE-listed leading auto-backed financing solution provider in China. Prior to Weidai Ltd., Mr. Li served as an investment director and later an executive director of Vision Knight Capital, or VKC, a private equity fund focusing on China’s internet-driven sectors. Prior to VKC, Mr. Li worked at Morgan Stanley Asia Ltd. Mr. Li attended University of Oxford from 2004 to 2008 and received a four-year Master of Physics degree. Mr. Li is a Chartered Financial Analyst.</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 xml:space="preserve">Mr. Gang Lu </w:t>
      </w:r>
      <w:r>
        <w:rPr>
          <w:rFonts w:ascii="Arial" w:cs="Arial" w:eastAsia="Arial" w:hAnsi="Arial"/>
          <w:sz w:val="18"/>
          <w:szCs w:val="18"/>
          <w:color w:val="auto"/>
        </w:rPr>
        <w:t>has served as our director since June 2014. In 2009, Mr. Lu joined Legend Star, a venture capital headquartered in Beijing, and he is</w:t>
      </w:r>
      <w:r>
        <w:rPr>
          <w:rFonts w:ascii="Arial" w:cs="Arial" w:eastAsia="Arial" w:hAnsi="Arial"/>
          <w:sz w:val="18"/>
          <w:szCs w:val="18"/>
          <w:i w:val="1"/>
          <w:iCs w:val="1"/>
          <w:color w:val="auto"/>
        </w:rPr>
        <w:t xml:space="preserve"> </w:t>
      </w:r>
      <w:r>
        <w:rPr>
          <w:rFonts w:ascii="Arial" w:cs="Arial" w:eastAsia="Arial" w:hAnsi="Arial"/>
          <w:sz w:val="18"/>
          <w:szCs w:val="18"/>
          <w:color w:val="auto"/>
        </w:rPr>
        <w:t>now a partner of Legend Star and leads investment in healthcare, specialized in the fields of innovative medicine, biological and genetic technology, and innovative medical service. Mr. Lu holds a bachelor’s degree in electromagnetic engineering from Xidian University and a Master of Business Administration degree from Tsinghua University.</w:t>
      </w:r>
    </w:p>
    <w:p>
      <w:pPr>
        <w:spacing w:after="0" w:line="18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i w:val="1"/>
          <w:iCs w:val="1"/>
          <w:color w:val="auto"/>
        </w:rPr>
        <w:t xml:space="preserve">Mr. Feng Deng </w:t>
      </w:r>
      <w:r>
        <w:rPr>
          <w:rFonts w:ascii="Arial" w:cs="Arial" w:eastAsia="Arial" w:hAnsi="Arial"/>
          <w:sz w:val="17"/>
          <w:szCs w:val="17"/>
          <w:color w:val="auto"/>
        </w:rPr>
        <w:t>has served as our director since August 2016. Mr. Deng has over 20 years of experience in venture capital, computer science and</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industry. He founded Northern Light Venture Capital in January 2006 and served as its managing director, focusing on investment in technology, media and telecom, or TMT, clean technology, healthcare and consumer sectors. From February 2004 to February 2005, he served as the vice president in strategy in Juniper Networks. From October 1997 to February 2004, Mr. Deng served as the vice president in engineering, chief strategy officer and a director of NetScreen Technologies Inc. Prior to NetScreen, he worked at Intel Corporation as a systems architect from July 1993 to October 1997. He holds a bachelor’s and a master’s degree in electronic engineering from Tsinghua University, a master’s degree in computer engineering from the University of Southern California, and a Master of Business Administration degree from the Wharton Business School of the University of Pennsylvania.</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Ms. Yunxia Yang </w:t>
      </w:r>
      <w:r>
        <w:rPr>
          <w:rFonts w:ascii="Arial" w:cs="Arial" w:eastAsia="Arial" w:hAnsi="Arial"/>
          <w:sz w:val="18"/>
          <w:szCs w:val="18"/>
          <w:color w:val="auto"/>
        </w:rPr>
        <w:t>has served as our director since January 2017. Ms. Yang is a partner of Sequoia Capital China focusing on healthcare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Sequoia Capital China in 2015, she worked at the healthcare team at Legend Capital, where she led investment in areas covering gene diagnostics, medical devices and healthcare service. Before setting foot in venture capital, she worked as business development manager at Johnson &amp; Johnson and product manager at GE Healthcare. Ms. Yang holds a Master of Business Administration degree from Duke University and Master of Clinical Science from Huazhong Technology University.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i w:val="1"/>
          <w:iCs w:val="1"/>
          <w:color w:val="auto"/>
        </w:rPr>
        <w:t xml:space="preserve">Mr. Jing Rong </w:t>
      </w:r>
      <w:r>
        <w:rPr>
          <w:rFonts w:ascii="Arial" w:cs="Arial" w:eastAsia="Arial" w:hAnsi="Arial"/>
          <w:sz w:val="17"/>
          <w:szCs w:val="17"/>
          <w:color w:val="auto"/>
        </w:rPr>
        <w:t>has served as our director since May 2017. Mr. Rong is a managing director of CMBI Capital Management (Shenzhen) Co., Ltd., a</w:t>
      </w:r>
      <w:r>
        <w:rPr>
          <w:rFonts w:ascii="Arial" w:cs="Arial" w:eastAsia="Arial" w:hAnsi="Arial"/>
          <w:sz w:val="17"/>
          <w:szCs w:val="17"/>
          <w:i w:val="1"/>
          <w:iCs w:val="1"/>
          <w:color w:val="auto"/>
        </w:rPr>
        <w:t xml:space="preserve"> </w:t>
      </w:r>
      <w:r>
        <w:rPr>
          <w:rFonts w:ascii="Arial" w:cs="Arial" w:eastAsia="Arial" w:hAnsi="Arial"/>
          <w:sz w:val="17"/>
          <w:szCs w:val="17"/>
          <w:color w:val="auto"/>
        </w:rPr>
        <w:t>wholly owned subsidiary of China Merchant Bank, responsible for equity investment in medical and pharmaceutical industries. In 2015, Mr. Rong served as general manager of the 4</w:t>
      </w:r>
      <w:r>
        <w:rPr>
          <w:rFonts w:ascii="Arial" w:cs="Arial" w:eastAsia="Arial" w:hAnsi="Arial"/>
          <w:sz w:val="14"/>
          <w:szCs w:val="14"/>
          <w:color w:val="auto"/>
        </w:rPr>
        <w:t>th</w:t>
      </w:r>
      <w:r>
        <w:rPr>
          <w:rFonts w:ascii="Arial" w:cs="Arial" w:eastAsia="Arial" w:hAnsi="Arial"/>
          <w:sz w:val="17"/>
          <w:szCs w:val="17"/>
          <w:color w:val="auto"/>
        </w:rPr>
        <w:t xml:space="preserve"> investment department in Pingan Caizhi Investment Management Co., Ltd., a wholly owned subsidiary of Pingan Securities, focusing on equity investment in medical and pharmaceutical industries. From 2012 to 2015, he worked at China Merchants Capital Management Co., Ltd. as the vice president managing investment funds in medical and pharmaceutical industries. From 2007 to 2011, he worked at Ernst &amp; Young and, from 2003 to 2007, at Deloitte. Mr. Rong obtained a bachelor’s degree in accounting from Xiamen University in 2003 and a Master of Business Administration degree from Chinese University of Hong Kong in 2012.</w:t>
      </w:r>
    </w:p>
    <w:p>
      <w:pPr>
        <w:spacing w:after="0" w:line="17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i w:val="1"/>
          <w:iCs w:val="1"/>
          <w:color w:val="auto"/>
        </w:rPr>
        <w:t xml:space="preserve">Ms. Wendy Hayes </w:t>
      </w:r>
      <w:r>
        <w:rPr>
          <w:rFonts w:ascii="Arial" w:cs="Arial" w:eastAsia="Arial" w:hAnsi="Arial"/>
          <w:sz w:val="17"/>
          <w:szCs w:val="17"/>
          <w:color w:val="auto"/>
        </w:rPr>
        <w:t>has served as our independent director since June 2020. Ms. Hayes has served as an independent director of Tuanche Limited</w:t>
      </w:r>
      <w:r>
        <w:rPr>
          <w:rFonts w:ascii="Arial" w:cs="Arial" w:eastAsia="Arial" w:hAnsi="Arial"/>
          <w:sz w:val="17"/>
          <w:szCs w:val="17"/>
          <w:i w:val="1"/>
          <w:iCs w:val="1"/>
          <w:color w:val="auto"/>
        </w:rPr>
        <w:t xml:space="preserve"> </w:t>
      </w:r>
      <w:r>
        <w:rPr>
          <w:rFonts w:ascii="Arial" w:cs="Arial" w:eastAsia="Arial" w:hAnsi="Arial"/>
          <w:sz w:val="17"/>
          <w:szCs w:val="17"/>
          <w:color w:val="auto"/>
        </w:rPr>
        <w:t>(NASDAQ: TC) since November 2018, iHuman Inc. (NYSE: IH) since October 2020, Gracell Biotechnologies Inc. (NASDAQ: GRCL) since January 2021, and SciClone Pharmaceuticals (Holdings) Limited (HKEX: 6600) since March 2021. Between May 2013 and September 2018, Ms. Hayes served as the inspections leader at the Public Company Accounting Oversight Board in the United States. Prior to that, Ms. Hayes was an audit partner at Deloitte (China). Ms. Hayes received her bachelor’s degree in international finance from University of International Business and Economics in 1991, and her executive MBA from Cheung Kong Graduate School of Business in 2012. Ms. Hayes is currently an ALI Fellow at Harvard University. Ms. Hayes is a certified public accountant in the United States (California) and China.</w:t>
      </w:r>
    </w:p>
    <w:p>
      <w:pPr>
        <w:spacing w:after="0" w:line="177"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i w:val="1"/>
          <w:iCs w:val="1"/>
          <w:color w:val="auto"/>
        </w:rPr>
        <w:t xml:space="preserve">Dr. Min-Jui Richard Shen </w:t>
      </w:r>
      <w:r>
        <w:rPr>
          <w:rFonts w:ascii="Arial" w:cs="Arial" w:eastAsia="Arial" w:hAnsi="Arial"/>
          <w:sz w:val="16"/>
          <w:szCs w:val="16"/>
          <w:color w:val="auto"/>
        </w:rPr>
        <w:t>has served as our independent director since June 2020. Dr. Shen is the managing director of RS Technology Ventures,</w:t>
      </w:r>
      <w:r>
        <w:rPr>
          <w:rFonts w:ascii="Arial" w:cs="Arial" w:eastAsia="Arial" w:hAnsi="Arial"/>
          <w:sz w:val="16"/>
          <w:szCs w:val="16"/>
          <w:i w:val="1"/>
          <w:iCs w:val="1"/>
          <w:color w:val="auto"/>
        </w:rPr>
        <w:t xml:space="preserve"> </w:t>
      </w:r>
      <w:r>
        <w:rPr>
          <w:rFonts w:ascii="Arial" w:cs="Arial" w:eastAsia="Arial" w:hAnsi="Arial"/>
          <w:sz w:val="16"/>
          <w:szCs w:val="16"/>
          <w:color w:val="auto"/>
        </w:rPr>
        <w:t>LLC, a strategic advisory and investment company focused on nucleic acid analysis, oncology diagnostics and genomics which he founded in 2016. From 2000 to 2016, Dr. Shen worked at Illumina, Inc., a provider of life sciences tools company, where he successively served as, director of scientific operations, director of scientific research, senior director of biochemistry development, vice president for assay biochemistry and reagent manufacturing, vice president for operations and acting vice president for assay biochemistry, vice president for consumables product development, and vice president for oncology research and development. Prior to Illumina Inc., Dr. Shen worked at Myriad Genetics, Inc., a molecular diagnostics company, from 1998 to 2000. Dr. Shen received his bachelor’s degree in biochemistry from University of California, Los Angeles and his Ph.D. degree in biochemistry and molecular biology from Louisiana State University Medical Center. Additionally, Dr. Shen is a member of the External Advisory Board of the Parker H. Petit Institute for Bioengineering and Bioscience at the Georgia Institute of Technology.</w:t>
      </w:r>
    </w:p>
    <w:p>
      <w:pPr>
        <w:spacing w:after="0" w:line="16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 xml:space="preserve">Dr. Zhihong (Joe) Zhang </w:t>
      </w:r>
      <w:r>
        <w:rPr>
          <w:rFonts w:ascii="Arial" w:cs="Arial" w:eastAsia="Arial" w:hAnsi="Arial"/>
          <w:sz w:val="18"/>
          <w:szCs w:val="18"/>
          <w:color w:val="auto"/>
        </w:rPr>
        <w:t>served as our chief technology officer since March 2016. Prior to joining us, Dr. Zhang was a staff scientist of Illumina,</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a senior fellow of Howard Hughes Medical Institute and University of Washington. He obtained a bachelor’s and master’s degree in biochemistry and molecular biology from Fudan University in 1997 and 2000, and a Ph.D. degree in molecular genetics and microbiology from Duke University in 2005.</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i w:val="1"/>
          <w:iCs w:val="1"/>
          <w:color w:val="auto"/>
        </w:rPr>
        <w:t xml:space="preserve">Mr. Hao Liu </w:t>
      </w:r>
      <w:r>
        <w:rPr>
          <w:rFonts w:ascii="Arial" w:cs="Arial" w:eastAsia="Arial" w:hAnsi="Arial"/>
          <w:sz w:val="17"/>
          <w:szCs w:val="17"/>
          <w:color w:val="auto"/>
        </w:rPr>
        <w:t>has served as our chief medical officer since August 2015. Prior to joining us, Mr. Liu worked at Novartis, leading R&amp;D strategy and</w:t>
      </w:r>
      <w:r>
        <w:rPr>
          <w:rFonts w:ascii="Arial" w:cs="Arial" w:eastAsia="Arial" w:hAnsi="Arial"/>
          <w:sz w:val="17"/>
          <w:szCs w:val="17"/>
          <w:i w:val="1"/>
          <w:iCs w:val="1"/>
          <w:color w:val="auto"/>
        </w:rPr>
        <w:t xml:space="preserve"> </w:t>
      </w:r>
      <w:r>
        <w:rPr>
          <w:rFonts w:ascii="Arial" w:cs="Arial" w:eastAsia="Arial" w:hAnsi="Arial"/>
          <w:sz w:val="17"/>
          <w:szCs w:val="17"/>
          <w:color w:val="auto"/>
        </w:rPr>
        <w:t>projects in China on solid tumor. Prior to Novartis, he worked at Pfizer where he led clinical research on Crizotinib in China. Mr. Liu obtained a bachelor’s degree in clinical medicine from Shanghai Medical College of Fudan University (formerly known as Shanghai Medical University) in July 1996, and a master’s degree in pathology and pathophysiology from Peking Union Medical College in July 2001.</w:t>
      </w:r>
    </w:p>
    <w:p>
      <w:pPr>
        <w:spacing w:after="0" w:line="316"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 2020, we paid an aggregate of approximately RMB8.2 million (US$1.3 million) in cash to our directors and executive officers. Our PRC subsidiaries are required by law to make contributions equal to certain percentages of each employee’s salary for his or her pension insurance, medical insurance, unemployment insurance, employment injury insurance, maternity insurance and other statutory benefits and a housing provident fund.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If the executive officer otherwise fails to perform agreed duties, we may terminate employment upon one-week to 30-day advance written notice. We may also terminate an executive officer’s employment upon mutual agreement or 30-day advance written notice. In such case of termination by us, we will provide severance payments to the executive officer as expressly required by applicable law of the jurisdiction where the executive officer is based. Our executive officer may resign at any time upon mutual agreement or 30-day advance written notice.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Each executive officer has agreed to hold, both during and after the termination or expiration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information with economic value, including but not limited to inventions, works and software, which they conceive, develop or reduce to practice during the executive officer’s employment with us and one year following the last date of employment, and to assign all right, title and interest in them to us, and assist us in obtaining and enforcing patents, copyrights and other legal rights for information with economic value.</w:t>
      </w:r>
    </w:p>
    <w:p>
      <w:pPr>
        <w:spacing w:after="0" w:line="192"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We have entered into indemnification agreements with each of our directors and executive officers. Under these agreements, we may agree to indemnify our directors and executive officers against certain liabilities and expenses incurred by such persons in connection with claims made by reason of their being a director or officer of our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Share Incentive Plan</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May 2020, our board of directors and shareholders approved our 2020 Share Incentive Plan, or the 2020 Plan, to provide incentives to employees, directors and consultants and promote the success of our business. The maximum number of ordinary shares that may be issued pursuant to all awards under our 2020 Plan is 4,512,276 ordinary shares.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paragraphs describe the principal terms of the 2020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Type of awards</w:t>
      </w:r>
      <w:r>
        <w:rPr>
          <w:rFonts w:ascii="Arial" w:cs="Arial" w:eastAsia="Arial" w:hAnsi="Arial"/>
          <w:sz w:val="17"/>
          <w:szCs w:val="17"/>
          <w:color w:val="auto"/>
        </w:rPr>
        <w:t>. The 2020 Plan permits the awards of options, restricted shares, restricted share units that the plan administrator decides.</w:t>
      </w:r>
    </w:p>
    <w:p>
      <w:pPr>
        <w:spacing w:after="0" w:line="237"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compensation committee will administer the 2020 Plan. The compensation committee will determine the participants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awards, the time, type and number of awards to be granted to each participant, and the terms and conditions of each award grant.</w:t>
      </w:r>
    </w:p>
    <w:p>
      <w:pPr>
        <w:spacing w:after="0" w:line="12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i w:val="1"/>
          <w:iCs w:val="1"/>
          <w:color w:val="auto"/>
        </w:rPr>
        <w:t>Award agreement</w:t>
      </w:r>
      <w:r>
        <w:rPr>
          <w:rFonts w:ascii="Arial" w:cs="Arial" w:eastAsia="Arial" w:hAnsi="Arial"/>
          <w:sz w:val="18"/>
          <w:szCs w:val="18"/>
          <w:color w:val="auto"/>
        </w:rPr>
        <w:t>. Awards granted under the 2020 Plan are evidenced by an award agreement that sets forth terms, conditions and limitations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award, which may include the term of the award, the provisions applicable in the event of the grantee’s employment or service terminates, and our authority to unilaterally or bilaterally amend, modify, suspend, cancel or rescind the award.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We may grant awards to employees, directors and consultants of our company or any of our affiliates.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Vesting schedule</w:t>
      </w:r>
      <w:r>
        <w:rPr>
          <w:rFonts w:ascii="Arial" w:cs="Arial" w:eastAsia="Arial" w:hAnsi="Arial"/>
          <w:sz w:val="17"/>
          <w:szCs w:val="17"/>
          <w:color w:val="auto"/>
        </w:rPr>
        <w:t>. In general, the plan administrator determines the vesting schedule, which is specified in the relevant award agreement.</w:t>
      </w:r>
    </w:p>
    <w:p>
      <w:pPr>
        <w:spacing w:after="0" w:line="23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i w:val="1"/>
          <w:iCs w:val="1"/>
          <w:color w:val="auto"/>
        </w:rPr>
        <w:t>Exercise of options</w:t>
      </w:r>
      <w:r>
        <w:rPr>
          <w:rFonts w:ascii="Arial" w:cs="Arial" w:eastAsia="Arial" w:hAnsi="Arial"/>
          <w:sz w:val="17"/>
          <w:szCs w:val="17"/>
          <w:color w:val="auto"/>
        </w:rPr>
        <w:t>. The plan administrator determines the exercise price per share for each award, which is stated in the award agreement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no less than the par value of any such shares. The vested portion of option will expire if not exercised prior to the time as the plan administrator determines at the time of its grant. However, the maximum exercisable term is ten years from the date of a grant.</w:t>
      </w:r>
    </w:p>
    <w:p>
      <w:pPr>
        <w:spacing w:after="0" w:line="16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i w:val="1"/>
          <w:iCs w:val="1"/>
          <w:color w:val="auto"/>
        </w:rPr>
        <w:t>Transfer Restrictions</w:t>
      </w:r>
      <w:r>
        <w:rPr>
          <w:rFonts w:ascii="Arial" w:cs="Arial" w:eastAsia="Arial" w:hAnsi="Arial"/>
          <w:sz w:val="18"/>
          <w:szCs w:val="18"/>
          <w:color w:val="auto"/>
        </w:rPr>
        <w:t>. Awards may not be transferred in any manner by the participant other than in accordance with the exceptions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2020 Plan or the relevant award agreement or otherwise determined by the plan administrator, such as transfers by will or the laws of descent and distribution.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60"/>
          </w:cols>
          <w:pgMar w:left="320" w:top="459" w:right="5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i w:val="1"/>
          <w:iCs w:val="1"/>
          <w:color w:val="auto"/>
        </w:rPr>
        <w:t>Termination and Amendment</w:t>
      </w:r>
      <w:r>
        <w:rPr>
          <w:rFonts w:ascii="Arial" w:cs="Arial" w:eastAsia="Arial" w:hAnsi="Arial"/>
          <w:sz w:val="17"/>
          <w:szCs w:val="17"/>
          <w:color w:val="auto"/>
        </w:rPr>
        <w:t>. Unless terminated earlier, the 2020 Plan has a term of ten years. The plan administrator has the authority to amend</w:t>
      </w:r>
      <w:r>
        <w:rPr>
          <w:rFonts w:ascii="Arial" w:cs="Arial" w:eastAsia="Arial" w:hAnsi="Arial"/>
          <w:sz w:val="17"/>
          <w:szCs w:val="17"/>
          <w:i w:val="1"/>
          <w:iCs w:val="1"/>
          <w:color w:val="auto"/>
        </w:rPr>
        <w:t xml:space="preserve"> </w:t>
      </w:r>
      <w:r>
        <w:rPr>
          <w:rFonts w:ascii="Arial" w:cs="Arial" w:eastAsia="Arial" w:hAnsi="Arial"/>
          <w:sz w:val="17"/>
          <w:szCs w:val="17"/>
          <w:color w:val="auto"/>
        </w:rPr>
        <w:t>or terminate the 2020 Plan. Except with respect to amendments made by the plan administrator, no termination, amendment or modification may diminish any of the rights of the participant under any award pursuant to the 2020 Plan unless agreed by the participant.</w:t>
      </w:r>
    </w:p>
    <w:p>
      <w:pPr>
        <w:spacing w:after="0" w:line="16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As of February 28, 2021, we granted certain number of restricted share units under our 2020 Plan to a director, which represent less than 1% of our total outstanding ordinary shares as of the same date.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Share Incentive Awards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also granted options to our directors, officers and employees other than under our 2020 Plan. As of February 28, 2021, there were 5,937,508 ordinary shares underlying outstanding options such that granted to our directors and executive officers as a group. These options bear a per share exercise price of US$0.0002 or US$13.6184, and will expire between May 10, 2024 and July 3, 2030.</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December 2020, we issued an aggregate of 743,955 restricted shares at purchase prices between US$13.2000 and US$20.0229 per share to certain employees. These restricted shares are subject to a three-year lock-up period.</w:t>
      </w:r>
    </w:p>
    <w:p>
      <w:pPr>
        <w:spacing w:after="0" w:line="315"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w:t>
      </w:r>
    </w:p>
    <w:p>
      <w:pPr>
        <w:spacing w:after="0" w:line="117" w:lineRule="exact"/>
        <w:rPr>
          <w:rFonts w:ascii="Arial" w:cs="Arial" w:eastAsia="Arial" w:hAnsi="Arial"/>
          <w:sz w:val="18"/>
          <w:szCs w:val="18"/>
          <w:b w:val="1"/>
          <w:bCs w:val="1"/>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board of directors consists of nine directors. A director is not required to hold any shares in our company by way of qualification. A director may vote with respect to any contract, proposed contract or arrangement in which he is materially interested, provided that (a) such director, if his or her interest in such contract or arrangement is material, has declared the nature of his or her interest at the earliest meeting of the board at which it is practicable for him or her to do so, either specifically or by way of a general notice and (b) if such contract or arrangement is a transaction with a related party, such transaction has been approved by the audit committee. The directors may exercise all the powers of the company to borrow money, mortgage its undertaking, property and uncalled capital, and issue debentures or other securities whenever money is borrowed or as security for any obligation of the company or of any third party.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have established an audit committee, a compensation committee and a nominating and corporate governance committee. We have adopted a charter for each of these committees. Each committee’s members and functions are described below.</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Our audit committee consists of Ms. Wendy Hayes, Mr. Yusheng Han and Dr. Min-Jui Richard Shen. Ms. Wendy Hayes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our audit committee. We have determined that Ms. Wendy Hayes and Dr. Min-Jui Richard Shen each satisfies the “independence” requirements of Rule 5605(c)(2) of the Listing Rules of the Nasdaq Stock Market and meets the independence standards under Rule 10A-3 under the Exchange Act, as amended. We have determined that Ms. Wendy Hayes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8" w:lineRule="exact"/>
        <w:rPr>
          <w:sz w:val="20"/>
          <w:szCs w:val="20"/>
          <w:color w:val="auto"/>
        </w:rPr>
      </w:pPr>
    </w:p>
    <w:p>
      <w:pPr>
        <w:ind w:left="1080" w:right="88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appointing the independent auditors and pre-approving all auditing and non-auditing services permitted to be performed by the independent auditors;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auditors;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 and any steps taken to monitor and control major financial risk exposures;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auditors; and</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Our compensation committee consists of Mr. Yusheng Han, Ms. Yunxia Yang and Mr. Jing Rong. Mr. Yusheng Han is</w:t>
      </w:r>
      <w:r>
        <w:rPr>
          <w:rFonts w:ascii="Arial" w:cs="Arial" w:eastAsia="Arial" w:hAnsi="Arial"/>
          <w:sz w:val="16"/>
          <w:szCs w:val="16"/>
          <w:i w:val="1"/>
          <w:iCs w:val="1"/>
          <w:color w:val="auto"/>
        </w:rPr>
        <w:t xml:space="preserve"> </w:t>
      </w:r>
      <w:r>
        <w:rPr>
          <w:rFonts w:ascii="Arial" w:cs="Arial" w:eastAsia="Arial" w:hAnsi="Arial"/>
          <w:sz w:val="16"/>
          <w:szCs w:val="16"/>
          <w:color w:val="auto"/>
        </w:rPr>
        <w:t>the chairman of our compensation committee.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63" w:lineRule="exact"/>
        <w:rPr>
          <w:sz w:val="20"/>
          <w:szCs w:val="20"/>
          <w:color w:val="auto"/>
        </w:rPr>
      </w:pPr>
    </w:p>
    <w:p>
      <w:pPr>
        <w:ind w:left="1080" w:right="54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for its approval, the compensation for our chief executive officer and other executive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recommending to the board for determination with respect to the compensation of our non-employee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periodically and approving any incentive compensation or equity plans, programs or similar arrangements; and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selecting compensation consultant, legal counsel or other adviser only after taking into consideration all factors relevant to that person’s independence from management.</w:t>
      </w:r>
    </w:p>
    <w:p>
      <w:pPr>
        <w:spacing w:after="0" w:line="170"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Our nominating and corporate governance committee consists of Mr. Gang Lu, Ms. Wendy</w:t>
      </w:r>
      <w:r>
        <w:rPr>
          <w:rFonts w:ascii="Arial" w:cs="Arial" w:eastAsia="Arial" w:hAnsi="Arial"/>
          <w:sz w:val="17"/>
          <w:szCs w:val="17"/>
          <w:i w:val="1"/>
          <w:iCs w:val="1"/>
          <w:color w:val="auto"/>
        </w:rPr>
        <w:t xml:space="preserve"> </w:t>
      </w:r>
      <w:r>
        <w:rPr>
          <w:rFonts w:ascii="Arial" w:cs="Arial" w:eastAsia="Arial" w:hAnsi="Arial"/>
          <w:sz w:val="17"/>
          <w:szCs w:val="17"/>
          <w:color w:val="auto"/>
        </w:rPr>
        <w:t>Hayes and Mr. Yusheng Han. Mr. Gang Lu is the chairman of our nomination committee. We have determined that Ms. Wendy Hayes satisfies the “independence” requirements of the Listing Rules of the Nasdaq Stock Market. The nominating and corporate governance committee assists the board in selecting individuals qualified to become our directors, and determining the composition of the board and its committees. The nominating and corporate governance committee is responsible for, among other things:</w:t>
      </w:r>
    </w:p>
    <w:p>
      <w:pPr>
        <w:spacing w:after="0" w:line="82"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selecting and recommending to the board nominees for election by the shareholders or appointment by the board;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knowledge, skills, experience and diversity;</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making recommendations on the frequency and structure of board meetings and monitoring the functioning of the committees of the board; and</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exercise skills they actually possess and such care and diligence that a reasonably prudent person would exercise in comparable circumstances.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circumstances have rights to damages if a duty owed by the directors is breached.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Our board of directors has all the powers necessary for managing, and for directing and supervising, our business affairs. The functions and powers of our board of directors include, among others:</w:t>
      </w:r>
    </w:p>
    <w:p>
      <w:pPr>
        <w:spacing w:after="0" w:line="76"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convening shareholders’ annual general meetings and reporting its work to shareholders at such meetings;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approving the transfer of shares in our company, including the registration of such shares in our share register.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Our directors may be elected by an ordinary resolution of our shareholders. Alternatively, our board of directors may, by the affirmative vote of a simple majority of the directors present and voting at a board meeting appoint any person as a director to fill a casual vacancy on our board or as an addition to the existing board. One-third of our directors (or, if the number of our directors is not a multiple of three, the number nearest to but not greater than one-third) will retire from office by rotation at each annual general meeting. In addition, a director will cease to be a director if he</w:t>
      </w:r>
    </w:p>
    <w:p>
      <w:pPr>
        <w:spacing w:after="0" w:line="1" w:lineRule="exact"/>
        <w:rPr>
          <w:sz w:val="20"/>
          <w:szCs w:val="20"/>
          <w:color w:val="auto"/>
        </w:rPr>
      </w:pPr>
    </w:p>
    <w:p>
      <w:pPr>
        <w:ind w:left="120" w:hanging="4"/>
        <w:spacing w:after="0" w:line="302" w:lineRule="auto"/>
        <w:tabs>
          <w:tab w:leader="none" w:pos="335" w:val="left"/>
        </w:tabs>
        <w:numPr>
          <w:ilvl w:val="0"/>
          <w:numId w:val="62"/>
        </w:numPr>
        <w:rPr>
          <w:rFonts w:ascii="Arial" w:cs="Arial" w:eastAsia="Arial" w:hAnsi="Arial"/>
          <w:sz w:val="16"/>
          <w:szCs w:val="16"/>
          <w:color w:val="auto"/>
        </w:rPr>
      </w:pPr>
      <w:r>
        <w:rPr>
          <w:rFonts w:ascii="Arial" w:cs="Arial" w:eastAsia="Arial" w:hAnsi="Arial"/>
          <w:sz w:val="16"/>
          <w:szCs w:val="16"/>
          <w:color w:val="auto"/>
        </w:rPr>
        <w:t>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officers are appointed by and serve at the discretion of the board of directors, and may be removed by our board of directors.</w:t>
      </w:r>
    </w:p>
    <w:p>
      <w:pPr>
        <w:spacing w:after="0" w:line="370"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As of December 31, 2018, 2019 and 2020, we had 528, 705 and 938 employees, respectively. Most of our employees are located in China, with a small number located in the United States. The following table sets forth the number of our employees by function as of December 31, 2020.</w:t>
      </w:r>
    </w:p>
    <w:p>
      <w:pPr>
        <w:spacing w:after="0" w:line="14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1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19"/>
        </w:trPr>
        <w:tc>
          <w:tcPr>
            <w:tcW w:w="6240" w:type="dxa"/>
            <w:vAlign w:val="bottom"/>
          </w:tcPr>
          <w:p>
            <w:pPr>
              <w:spacing w:after="0"/>
              <w:rPr>
                <w:sz w:val="10"/>
                <w:szCs w:val="10"/>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Employees</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Functions:</w:t>
            </w: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Technology, Research and Development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188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Medical Affairs</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Operations and Quality Assurance</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204</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General and Administration</w:t>
            </w: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5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employees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required by PRC laws and regulations, we participate in various employee social security plans that are organized by municipal and provincial governments, including pension, medical insurance and unemployment insurance and housing fund. We are required under PRC laws to make contributions to employee benefit plans at specified percentages of the salaries, bonuses and certain allowances of our employees, up to a maximum amount specified by the local government from time to time.</w:t>
      </w:r>
    </w:p>
    <w:p>
      <w:pPr>
        <w:spacing w:after="0" w:line="331"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Except as specifically noted, the following table sets forth information with respect to the beneficial ownership of our ordinary shares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28, 2021 by:</w:t>
      </w:r>
    </w:p>
    <w:p>
      <w:pPr>
        <w:spacing w:after="0" w:line="116"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our directors and executive officers;</w:t>
      </w:r>
    </w:p>
    <w:p>
      <w:pPr>
        <w:spacing w:after="0" w:line="130" w:lineRule="exact"/>
        <w:rPr>
          <w:rFonts w:ascii="Arial" w:cs="Arial" w:eastAsia="Arial" w:hAnsi="Arial"/>
          <w:sz w:val="18"/>
          <w:szCs w:val="18"/>
          <w:color w:val="auto"/>
        </w:rPr>
      </w:pPr>
    </w:p>
    <w:p>
      <w:pPr>
        <w:ind w:left="5480" w:right="4080" w:hanging="4824"/>
        <w:spacing w:after="0" w:line="449" w:lineRule="auto"/>
        <w:tabs>
          <w:tab w:leader="none" w:pos="1079"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our ordinary shares. 100</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The calculations in the table below are based on 104,548,489 ordinary shares outstanding as of February 28, 2021, comprising (i) 87,223,641 Class A ordinary shares, excluding 670,191 Class A ordinary shares issued to our depositary bank for bulk issuance of ADSs reserved for future issuances upon the exercise or vesting of awards granted under share incentive plans, and (ii) 17,324,848 Class B ordinary shares.</w:t>
      </w:r>
    </w:p>
    <w:p>
      <w:pPr>
        <w:spacing w:after="0" w:line="14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rPr>
              <w:t>Ordinary Shares Beneficially Owned</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4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3"/>
              </w:rPr>
              <w:t>Class A Ordinary</w:t>
            </w: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Class B</w:t>
            </w:r>
          </w:p>
        </w:tc>
        <w:tc>
          <w:tcPr>
            <w:tcW w:w="13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Total Ordinary</w:t>
            </w: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4"/>
              </w:rPr>
              <w:t>% of Beneficial</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 of Aggregate</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Ordinary</w:t>
            </w:r>
          </w:p>
        </w:tc>
        <w:tc>
          <w:tcPr>
            <w:tcW w:w="132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Ownership†</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Voting Power††</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Yusheng Han</w:t>
            </w:r>
            <w:r>
              <w:rPr>
                <w:rFonts w:ascii="Arial" w:cs="Arial" w:eastAsia="Arial" w:hAnsi="Arial"/>
                <w:sz w:val="15"/>
                <w:szCs w:val="15"/>
                <w:color w:val="auto"/>
              </w:rPr>
              <w:t>(1)</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17,324,848</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17,324,848</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16.6%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Shaokun (Shannon) Chuai</w:t>
            </w:r>
            <w:r>
              <w:rPr>
                <w:rFonts w:ascii="Arial" w:cs="Arial" w:eastAsia="Arial" w:hAnsi="Arial"/>
                <w:sz w:val="15"/>
                <w:szCs w:val="15"/>
                <w:color w:val="auto"/>
              </w:rPr>
              <w:t>(2)</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2,604,592</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2,604,592</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Leo Li</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Gang Lu</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Feng Deng</w:t>
            </w:r>
            <w:r>
              <w:rPr>
                <w:rFonts w:ascii="Arial" w:cs="Arial" w:eastAsia="Arial" w:hAnsi="Arial"/>
                <w:sz w:val="15"/>
                <w:szCs w:val="15"/>
                <w:color w:val="auto"/>
              </w:rPr>
              <w:t>(3)</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11,880,245</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11,880,245</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Yunxia Yang</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Jing Rong</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Wendy Hayes</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Min-Jui Richard Shen</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Zhihong (Joe) Zhang</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Hao Liu</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 Directors and Executive Officers</w:t>
            </w: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as a Group</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15,542,456</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17,324,848</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33,138,041</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Principal Shareholders:</w:t>
            </w: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Quantum Boundary Holdings Limited</w:t>
            </w:r>
            <w:r>
              <w:rPr>
                <w:rFonts w:ascii="Arial" w:cs="Arial" w:eastAsia="Arial" w:hAnsi="Arial"/>
                <w:sz w:val="15"/>
                <w:szCs w:val="15"/>
                <w:color w:val="auto"/>
              </w:rPr>
              <w:t>(1)</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17,324,848</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17,324,848</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Northern Light Venture Capital III, Ltd.</w:t>
            </w:r>
            <w:r>
              <w:rPr>
                <w:rFonts w:ascii="Arial" w:cs="Arial" w:eastAsia="Arial" w:hAnsi="Arial"/>
                <w:sz w:val="15"/>
                <w:szCs w:val="15"/>
                <w:color w:val="auto"/>
              </w:rPr>
              <w:t>(4)</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11,880,245</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11,880,245</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LYFE Capital</w:t>
            </w:r>
            <w:r>
              <w:rPr>
                <w:rFonts w:ascii="Arial" w:cs="Arial" w:eastAsia="Arial" w:hAnsi="Arial"/>
                <w:sz w:val="15"/>
                <w:szCs w:val="15"/>
                <w:color w:val="auto"/>
              </w:rPr>
              <w:t>(5)</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8,732,409</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8,732,409</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Sequoia Capital China</w:t>
            </w:r>
            <w:r>
              <w:rPr>
                <w:rFonts w:ascii="Arial" w:cs="Arial" w:eastAsia="Arial" w:hAnsi="Arial"/>
                <w:sz w:val="15"/>
                <w:szCs w:val="15"/>
                <w:color w:val="auto"/>
              </w:rPr>
              <w:t>(6)</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6,946,368</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6,946,368</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6.6%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Investment funds affiliated with CMB</w:t>
            </w:r>
            <w:r>
              <w:rPr>
                <w:rFonts w:ascii="Arial" w:cs="Arial" w:eastAsia="Arial" w:hAnsi="Arial"/>
                <w:sz w:val="15"/>
                <w:szCs w:val="15"/>
                <w:color w:val="auto"/>
              </w:rPr>
              <w:t>(7)</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7,029,385</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7,029,385</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Crest Top Developments Limited</w:t>
            </w:r>
            <w:r>
              <w:rPr>
                <w:rFonts w:ascii="Arial" w:cs="Arial" w:eastAsia="Arial" w:hAnsi="Arial"/>
                <w:sz w:val="15"/>
                <w:szCs w:val="15"/>
                <w:color w:val="auto"/>
              </w:rPr>
              <w:t>(8)</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5,321,180</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5,321,180</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Less than 1% of our total ordinary shares outstanding as of February 28, 2021.</w:t>
      </w:r>
    </w:p>
    <w:p>
      <w:pPr>
        <w:spacing w:after="0" w:line="23"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Except as otherwise indicated below, the business address of our directors and executive officers is 601, 6/F, Building 3, Standard Industrial Unit</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 No. 7, Luoxuan 4th Road, International Bio Island, Guangzhou, China.</w:t>
      </w:r>
    </w:p>
    <w:p>
      <w:pPr>
        <w:spacing w:after="0" w:line="9" w:lineRule="exact"/>
        <w:rPr>
          <w:sz w:val="20"/>
          <w:szCs w:val="20"/>
          <w:color w:val="auto"/>
        </w:rPr>
      </w:pPr>
    </w:p>
    <w:p>
      <w:pPr>
        <w:ind w:left="540" w:right="100" w:hanging="424"/>
        <w:spacing w:after="0" w:line="281" w:lineRule="auto"/>
        <w:tabs>
          <w:tab w:leader="none" w:pos="540"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For each person and group included in this column, percentage ownership is calculated by dividing the number of shares beneficially owned by such person or group by the sum of the total number of shares outstanding, and the number of shares such person or group has the right to acquire</w:t>
      </w:r>
    </w:p>
    <w:p>
      <w:pPr>
        <w:spacing w:after="0" w:line="1" w:lineRule="exact"/>
        <w:rPr>
          <w:sz w:val="20"/>
          <w:szCs w:val="20"/>
          <w:color w:val="auto"/>
        </w:rPr>
      </w:pPr>
    </w:p>
    <w:p>
      <w:pPr>
        <w:ind w:left="540" w:right="260"/>
        <w:spacing w:after="0" w:line="265" w:lineRule="auto"/>
        <w:rPr>
          <w:sz w:val="20"/>
          <w:szCs w:val="20"/>
          <w:color w:val="auto"/>
        </w:rPr>
      </w:pPr>
      <w:r>
        <w:rPr>
          <w:rFonts w:ascii="Arial" w:cs="Arial" w:eastAsia="Arial" w:hAnsi="Arial"/>
          <w:sz w:val="17"/>
          <w:szCs w:val="17"/>
          <w:color w:val="auto"/>
        </w:rPr>
        <w:t>upon exercise of an option, warrant or other right within 60 days after February 28, 2021. The total number of ordinary shares outstanding as of February 28, 2021 is 104,548,489, including 87,223,641 Class A ordinary shares and 17,324,848 Class B ordinary shares.</w:t>
      </w:r>
    </w:p>
    <w:p>
      <w:pPr>
        <w:ind w:left="540" w:right="160" w:hanging="424"/>
        <w:spacing w:after="0" w:line="281" w:lineRule="auto"/>
        <w:tabs>
          <w:tab w:leader="none" w:pos="540" w:val="left"/>
        </w:tabs>
        <w:numPr>
          <w:ilvl w:val="0"/>
          <w:numId w:val="69"/>
        </w:numPr>
        <w:rPr>
          <w:rFonts w:ascii="Arial" w:cs="Arial" w:eastAsia="Arial" w:hAnsi="Arial"/>
          <w:sz w:val="16"/>
          <w:szCs w:val="16"/>
          <w:b w:val="1"/>
          <w:bCs w:val="1"/>
          <w:color w:val="auto"/>
        </w:rPr>
      </w:pPr>
      <w:r>
        <w:rPr>
          <w:rFonts w:ascii="Arial" w:cs="Arial" w:eastAsia="Arial" w:hAnsi="Arial"/>
          <w:sz w:val="16"/>
          <w:szCs w:val="16"/>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six votes per share on all matters submitted to</w:t>
      </w:r>
    </w:p>
    <w:p>
      <w:pPr>
        <w:spacing w:after="0" w:line="2" w:lineRule="exact"/>
        <w:rPr>
          <w:sz w:val="20"/>
          <w:szCs w:val="20"/>
          <w:color w:val="auto"/>
        </w:rPr>
      </w:pPr>
    </w:p>
    <w:p>
      <w:pPr>
        <w:ind w:left="540" w:right="220"/>
        <w:spacing w:after="0" w:line="250" w:lineRule="auto"/>
        <w:rPr>
          <w:sz w:val="20"/>
          <w:szCs w:val="20"/>
          <w:color w:val="auto"/>
        </w:rPr>
      </w:pPr>
      <w:r>
        <w:rPr>
          <w:rFonts w:ascii="Arial" w:cs="Arial" w:eastAsia="Arial" w:hAnsi="Arial"/>
          <w:sz w:val="18"/>
          <w:szCs w:val="18"/>
          <w:color w:val="auto"/>
        </w:rPr>
        <w:t>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spacing w:after="0" w:line="1" w:lineRule="exact"/>
        <w:rPr>
          <w:sz w:val="20"/>
          <w:szCs w:val="20"/>
          <w:color w:val="auto"/>
        </w:rPr>
      </w:pPr>
    </w:p>
    <w:p>
      <w:pPr>
        <w:ind w:left="540" w:right="60" w:hanging="424"/>
        <w:spacing w:after="0" w:line="265" w:lineRule="auto"/>
        <w:tabs>
          <w:tab w:leader="none" w:pos="5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Represents 17,324,848 Class B ordinary shares directly held by Quantum Boundary Holdings Limited, a British Virgin Island company. Quantum Boundary Holdings Limited is indirectly wholly owned and ultimately controlled by a family trust, a trust established under the laws of the Republic of Singapore and managed by J.P. Morgan Trust Company (Singapore) Pte. Ltd as the trustee. Mr. Han is the settlor of the trust. Mr. Han and his family members are the beneficiaries of the trust. The register address of Quantum Boundary Holdings Limited is at Vistra Corporate Services Centre, Wickhams Cay II, Road Town, Tortola, VG1110, British Virgin Islands.</w:t>
      </w:r>
    </w:p>
    <w:p>
      <w:pPr>
        <w:ind w:left="540" w:right="100" w:hanging="424"/>
        <w:spacing w:after="0" w:line="250"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2,604,592 Class A ordinary shares (including 21,270 Class A ordinary shares in the form of ADSs) directly held by Loving Marvin Holdings Limited, a British Virgin Island company. Loving Marvin Holdings Limited is indirectly wholly owned and ultimately controlled by a family trust, a trust established under the laws of the Republic of Singapore and managed by J.P. Morgan Trust Company (Singapore) Pte. Ltd as the trustee. Dr. Shaokun (Shannon) Chuai is the settlor of the trust. Dr. Shaokun (Shannon) Chuai and her family members are the beneficiaries of the trust. The registered address of Loving Marvin Holdings Limited is at Vistra Corporate Services Centre, Wickhams Cay II, Road Town, Tortola, VG1110, British Virgin Islands.</w:t>
      </w:r>
    </w:p>
    <w:p>
      <w:pPr>
        <w:spacing w:after="0" w:line="2" w:lineRule="exact"/>
        <w:rPr>
          <w:rFonts w:ascii="Arial" w:cs="Arial" w:eastAsia="Arial" w:hAnsi="Arial"/>
          <w:sz w:val="18"/>
          <w:szCs w:val="18"/>
          <w:color w:val="auto"/>
        </w:rPr>
      </w:pPr>
    </w:p>
    <w:p>
      <w:pPr>
        <w:ind w:left="540" w:right="220" w:hanging="424"/>
        <w:spacing w:after="0" w:line="260"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Consists of the shares listed in footnote (4) below. For purpose of this section, Mr. Feng Deng, one of our directors, beneficially owns the shares held by Northern Light Venture Capital III, Ltd.</w:t>
      </w:r>
    </w:p>
    <w:p>
      <w:pPr>
        <w:sectPr>
          <w:pgSz w:w="11900" w:h="16838" w:orient="portrait"/>
          <w:cols w:equalWidth="0" w:num="1">
            <w:col w:w="11140"/>
          </w:cols>
          <w:pgMar w:left="320" w:top="459" w:right="439" w:bottom="1440" w:gutter="0" w:footer="0" w:header="0"/>
        </w:sectPr>
      </w:pP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140"/>
          </w:cols>
          <w:pgMar w:left="320" w:top="459" w:right="43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hanging="424"/>
        <w:spacing w:after="0" w:line="267" w:lineRule="auto"/>
        <w:tabs>
          <w:tab w:leader="none" w:pos="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Represents 11,880,245 Class A ordinary shares held by Northern Light Venture Capital III, Ltd., or NLVC, a Cayman Islands exempted limited liability company, as reported in the Schedule 13G filed by NLVC, among others, on February 12, 2021. NLVC owns our shares for the benefit of Northern Light Venture Fund III, L.P., or NLVF III, Northern Light Strategic Fund III, L.P. or NLSF III, and Northern Light Partners Fund III, L.P., or NLPF III, which are Cayman Islands exempted limited liability partnerships. The general partner of these three limited partnerships is Northern Light Partners III, L.P., a Cayman Islands exempted limited liability partnership. Feng Deng, who is one of our directors, Yan Ke and Jeffrey D. Lee are the directors of Northern Light Partners III, L.P. and may be deemed to beneficially own the shares owned by NLVC for the benefit of NLVF III, NLSF III and NLPF III. The registered address of Northern Light Venture Capital III, Ltd. is Floor 4, Willow House, Cricket Square, Grand Cayman, KY1-9010, Cayman Islands.</w:t>
      </w:r>
    </w:p>
    <w:p>
      <w:pPr>
        <w:spacing w:after="0" w:line="2" w:lineRule="exact"/>
        <w:rPr>
          <w:rFonts w:ascii="Arial" w:cs="Arial" w:eastAsia="Arial" w:hAnsi="Arial"/>
          <w:sz w:val="17"/>
          <w:szCs w:val="17"/>
          <w:color w:val="auto"/>
        </w:rPr>
      </w:pPr>
    </w:p>
    <w:p>
      <w:pPr>
        <w:ind w:left="540" w:right="180" w:hanging="424"/>
        <w:spacing w:after="0" w:line="281"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(i) 6,407,712 Class A ordinary shares held by LYFE Capital Stone (Hong Kong) Limited, a Hong Kong private company limited by shares, (ii) 1,597,425 Class A ordinary shares held by LYFE Mount Whitney Limited, a Hong Kong private company limited by shares, and (iii) 727,272 Class A ordinary shares represented by 727,272 ADSs held by LYFE Capital Fund II, L.P., a Cayman Islands partnership, as reported in the Schedule 13G filed by LYFE Capital Stone (Hong Kong) Limited, among others, on February 11, 2021. LYFE Capital Stone (Hong Kong)</w:t>
      </w:r>
    </w:p>
    <w:p>
      <w:pPr>
        <w:spacing w:after="0" w:line="2" w:lineRule="exact"/>
        <w:rPr>
          <w:rFonts w:ascii="Arial" w:cs="Arial" w:eastAsia="Arial" w:hAnsi="Arial"/>
          <w:sz w:val="16"/>
          <w:szCs w:val="16"/>
          <w:color w:val="auto"/>
        </w:rPr>
      </w:pPr>
    </w:p>
    <w:p>
      <w:pPr>
        <w:ind w:left="540"/>
        <w:spacing w:after="0" w:line="265" w:lineRule="auto"/>
        <w:rPr>
          <w:rFonts w:ascii="Arial" w:cs="Arial" w:eastAsia="Arial" w:hAnsi="Arial"/>
          <w:sz w:val="16"/>
          <w:szCs w:val="16"/>
          <w:color w:val="auto"/>
        </w:rPr>
      </w:pPr>
      <w:r>
        <w:rPr>
          <w:rFonts w:ascii="Arial" w:cs="Arial" w:eastAsia="Arial" w:hAnsi="Arial"/>
          <w:sz w:val="17"/>
          <w:szCs w:val="17"/>
          <w:color w:val="auto"/>
        </w:rPr>
        <w:t>Limited is owned by LYFE Capital Fund, L.P., and LYFE Capital Fund—A, L.P. LYFE Mount Whitney Limited is owned by LYFE Capital Fund II, L.P., Pantheon Access Co-investment Program, L.P.—Series 81 and Pantheon International PLC. LYFE Capital GP, L.P. is the general partner of LYFE Capital Fund, L.P. LYFE Capital GP II, L.P. is the general partner of LYFE Capital Fund II, L.P. LYFE Capital Management Limited is, in turn, the general partner of LYFE Capital GP, L.P. and LYFE Capital GP II, L.P. Mr. Jin Zhao and Mr. Zhengkun Yu, through their control over LYFE Capital Management Limited, share the voting and investment power with respect to all of our shares held by LYFE Capital Stone (Hong Kong) Limited and LYFE Mount Whitney Limited. LYFE Capital Fund II, L.P is an affiliate of LYFE Mount Whitney Limited. The registered address of LYFE Capital Stone (Hong Kong) Limited is Suite 1113A, 11/F, Ocean Centre, Harbour City, 5 Canton Road, Tsim Sha Tsui, Kowloon, Hong Kong. The registered address of LYFE Mount Whitney Limited is Suite 1113A, 11/F, Ocean Centre, Harbour City, 5 Canton Road, Tsim Sha Tsui, Kowloon, Hong Kong.</w:t>
      </w:r>
    </w:p>
    <w:p>
      <w:pPr>
        <w:spacing w:after="0" w:line="1" w:lineRule="exact"/>
        <w:rPr>
          <w:rFonts w:ascii="Arial" w:cs="Arial" w:eastAsia="Arial" w:hAnsi="Arial"/>
          <w:sz w:val="16"/>
          <w:szCs w:val="16"/>
          <w:color w:val="auto"/>
        </w:rPr>
      </w:pPr>
    </w:p>
    <w:p>
      <w:pPr>
        <w:ind w:left="540" w:right="40" w:hanging="424"/>
        <w:spacing w:after="0" w:line="281"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(i) 3,004,874 Class A ordinary shares held by SCC Venture V Holdco I, Ltd., an exempted company with limited liability incorporated under the law of the Cayman Islands, (ii) 3,840,808 Class A ordinary shares held by SCC Venture VI Holdco, Ltd., an exempted company with limited liability incorporated under the law of the Cayman Islands, and (iii) 100,686 Class A ordinary shares held by Mr. Neil Nanpeng Shen, as reported in the Schedule 13G filed by SCC Venture V Holdco I, Ltd and SCC Venture VI Holdco, Ltd., among others, on February 12, 2021. SCC Venture V Holdco I, Ltd. is wholly-owned by Sequoia Capital China Venture Fund V, L.P. The general partner of Sequoia Capital China Venture Fund V, L.P. is SC China Venture V Management, L.P., whose general partner is SC China Holding Limited. SCC Venture VI Holdco, Ltd. is wholly-owned by Sequoia Capital China Venture Fund VI, L.P. The general partner of Sequoia Capital China Venture Fund VI, L.P. is SC China Venture VI Management, L.P., whose general partner is SC China Holding Limited. SC China Holding Limited is wholly-owned by SNP China Enterprises Limited, which in turn is wholly-owned by Mr. Neil Nanpeng Shen. The registered address of SCC Venture V Holdco I, Ltd. and SCC Venture VI Holdco, Ltd. is Maples Corporate Services Limited, PO Box 309, Ugland House, Grand Cayman, KY1-1104, Cayman Islands. The address for Mr. Shen is Suite 3613, 36/F Two Pacific Place, 88 Queensway, Hong Kong.</w:t>
      </w:r>
    </w:p>
    <w:p>
      <w:pPr>
        <w:spacing w:after="0" w:line="6"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Represents (i) 5,964,435 Class A ordinary shares held by EverGreen SeriesC Limited Partnership, a Cayman Islands exempted limited partnership, and (ii) 1,064,950 Class A ordinary shares held by CMBI Private Equity Series SPC on behalf of and for the account of Biotechnology Fund IV SP, a segregated portfolio company incorporated under the law of Cayman Islands, whose management shares wholly owned by CMB International Private Investment Limited, an exempted company with limited liability incorporated under the law of Cayman Islands, as reported in the Schedule 13G filed by EverGreen SeriesC Limited Partnership, among others, on February 11, 2021. CMB International Private Investment Limited is also the general partner of EverGreen SeriesC Limited Partnership, and holds voting and dispositive power of the shares held by EverGreen SeriesC Limited Partnership. CMB International Private Investment Limited is ultimately controlled by China Merchants Bank Co., Limited (HKEX: 3968). The registered address of CMBI Private Equity Series SPC and EverGreen SeriesC Limited Partnership is the offices of Harneys Fiduciary (Cayman) Limited of 4th Floor, Harbour Place, 103 South Church Street, P.O. Box 10240, Grand Cayman KY1-1002, Cayman Islands.</w:t>
      </w:r>
    </w:p>
    <w:p>
      <w:pPr>
        <w:spacing w:after="0" w:line="1" w:lineRule="exact"/>
        <w:rPr>
          <w:rFonts w:ascii="Arial" w:cs="Arial" w:eastAsia="Arial" w:hAnsi="Arial"/>
          <w:sz w:val="17"/>
          <w:szCs w:val="17"/>
          <w:color w:val="auto"/>
        </w:rPr>
      </w:pPr>
    </w:p>
    <w:p>
      <w:pPr>
        <w:ind w:left="540" w:right="40" w:hanging="424"/>
        <w:spacing w:after="0" w:line="295"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5,321,180 Class A ordinary shares held by Crest Top Developments Limited, a limited liability company incorporated under the law of British Virgin Islands, as reported in the Schedule 13G filed by Crest Top Developments Limited , among others, on February 9, 2021. Crest Top Developments Limited is ultimately wholly owned by Legend Holdings Corporation (HKEX: 3396). The registered address of Crest Top Developments Limited is Vistra Corporate Services Centre, Wickhams Cay II, Road Town, Tortola, VG1110, British Virgin Islands.</w:t>
      </w:r>
    </w:p>
    <w:p>
      <w:pPr>
        <w:spacing w:after="0" w:line="16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To our knowledge, as of February 28, 2021, 29,047,308 Class A ordinary shares, representing approximately 27.8% of our total issued and outstanding ordinary shares, were held by one record shareholder with registered addresses in the United States, which was the depositary of our ADS program. None of our outstanding Class B ordinary shares are held by record holders in the United States. The number of beneficial owners of our ADSs in the United States is likely to be much larger than the number of record holders of our ordinary shares in the United States.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not aware of any arrangement that may, at a subsequent date, result in a change of control of our company.</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131"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6. Directors, Senior Management and Employees—E. Share Ownership.”</w:t>
      </w:r>
    </w:p>
    <w:p>
      <w:pPr>
        <w:sectPr>
          <w:pgSz w:w="11900" w:h="16838" w:orient="portrait"/>
          <w:cols w:equalWidth="0" w:num="1">
            <w:col w:w="11120"/>
          </w:cols>
          <w:pgMar w:left="320" w:top="459" w:right="459" w:bottom="1440"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120"/>
          </w:cols>
          <w:pgMar w:left="320" w:top="459" w:right="45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 with Our Variable Interest Entities and Their 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4. Information on the Company—C. Organizational Structure—Contractual Arrangements.”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Pursuant to the fifth amended and restated shareholders agreement dated January 10, 2020, we have granted certain registration rights to holders of our then preferred shares. Set forth below is a description of the registration rights granted under the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Demand Registration Right</w:t>
      </w:r>
      <w:r>
        <w:rPr>
          <w:rFonts w:ascii="Arial" w:cs="Arial" w:eastAsia="Arial" w:hAnsi="Arial"/>
          <w:sz w:val="16"/>
          <w:szCs w:val="16"/>
          <w:color w:val="auto"/>
        </w:rPr>
        <w:t>. At any time after the earlier of (i) the five (5) year after the closing of Series A+ financing (i.e. August 27, 2015) or</w:t>
      </w:r>
    </w:p>
    <w:p>
      <w:pPr>
        <w:spacing w:after="0" w:line="46" w:lineRule="exact"/>
        <w:rPr>
          <w:sz w:val="20"/>
          <w:szCs w:val="20"/>
          <w:color w:val="auto"/>
        </w:rPr>
      </w:pPr>
    </w:p>
    <w:p>
      <w:pPr>
        <w:ind w:left="120" w:right="40" w:hanging="4"/>
        <w:spacing w:after="0" w:line="285" w:lineRule="auto"/>
        <w:tabs>
          <w:tab w:leader="none" w:pos="385"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date that is six (6) months following the taking effect of a registration statement of an IPO, holder(s) together holding ten percent (10%) or more of the outstanding registrable securities may request in writing that we file a registration statement under Securities Act covering at least fifteen percent (15%) of the registrable securities. Within twenty (20) days after receipt of such a request, we shall use our best efforts to effect a registration of the registrable securities specified in the request, together with any registrable securities of any holder who requests in writing to join such registration. We are not be obligated to effect more than three (3) such registrations pursuant to the demand registration right, and we are not obligated to register registrable securities if we have, within the six-month period preceding the date of such request, effected a registration under the Securities Act pursuant to the exercise of the holders’ demand registration rights or Form F-3 registration right, or in which the holders had an opportunity to participate in a piggyback registration, unless the registrable securities of the holders were excluded from such registration. In addition, we have the right to defer filing of a registration statement for a period up to ninety (90) days after receipt of such request if, in the good faith judgment of our board of directors, the filing of a registration statement would be materially detrimental to us and our shareholders, but we cannot exercise this right more than once in any twelve-month period. Neither can we register any other of our shares during such twelve-month period.</w:t>
      </w:r>
    </w:p>
    <w:p>
      <w:pPr>
        <w:spacing w:after="0" w:line="17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i w:val="1"/>
          <w:iCs w:val="1"/>
          <w:color w:val="auto"/>
        </w:rPr>
        <w:t xml:space="preserve">Piggyback Registration Right. </w:t>
      </w:r>
      <w:r>
        <w:rPr>
          <w:rFonts w:ascii="Arial" w:cs="Arial" w:eastAsia="Arial" w:hAnsi="Arial"/>
          <w:sz w:val="17"/>
          <w:szCs w:val="17"/>
          <w:color w:val="auto"/>
        </w:rPr>
        <w:t>If we propose to file a registration statement under the Securities Act for purposes of effecting a public offering of</w:t>
      </w:r>
      <w:r>
        <w:rPr>
          <w:rFonts w:ascii="Arial" w:cs="Arial" w:eastAsia="Arial" w:hAnsi="Arial"/>
          <w:sz w:val="17"/>
          <w:szCs w:val="17"/>
          <w:i w:val="1"/>
          <w:iCs w:val="1"/>
          <w:color w:val="auto"/>
        </w:rPr>
        <w:t xml:space="preserve"> </w:t>
      </w:r>
      <w:r>
        <w:rPr>
          <w:rFonts w:ascii="Arial" w:cs="Arial" w:eastAsia="Arial" w:hAnsi="Arial"/>
          <w:sz w:val="17"/>
          <w:szCs w:val="17"/>
          <w:color w:val="auto"/>
        </w:rPr>
        <w:t>our securities (including registration statements relating to secondary offerings of our securities, but excluding registration statements relating to a demand registration or a piggyback registration, or to any employee benefit plan or a corporate reorganization), we must afford holders of registrable securities an opportunity to include in that registration all or any part of their registrable securities then held.</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Registration on Form F-3. </w:t>
      </w:r>
      <w:r>
        <w:rPr>
          <w:rFonts w:ascii="Arial" w:cs="Arial" w:eastAsia="Arial" w:hAnsi="Arial"/>
          <w:sz w:val="16"/>
          <w:szCs w:val="16"/>
          <w:color w:val="auto"/>
        </w:rPr>
        <w:t>Any holder of registrable securities may request us in writing to effect a registration on the Form F-3 (or an equivalent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registration in a jurisdiction outside of the U.S.) and any related qualification or compliance with respect to the registrable securities owned by such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holder. Upon such request, we shall cause the registrable securities specified in the request, together with any registrable securities of any holder who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requests in writing to join such registration, to be registered and effect any related qualification or compliance, provided that (i) Form F-3 is available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such offering by the holder, (ii) the registrable securities proposed to be sold to the public has an aggregate price in an amount of not less than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US$500,000, and (iii) in no jurisdiction in which we would be required to qualify to do business or to execute a general consent to service of process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effecting such registration, qualification or compliance. We are not obligated to register registrable securities if we have, within the six-month period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preceding the date of such request, effected a registration under the Securities Act, unless the registrable securities of the holders were excluded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such registration. In addition, we have the right to defer filing of the Form F-3 registration statement no more than once during any twelve-month period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for a period up to sixty (60) days after receipt of such request if, in the good faith judgment of our board of directors, the filing of a registration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statement would be materially detrimental to us and our shareholders, provided that we will not register any other of our shares during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sixty-day period.</w:t>
      </w:r>
    </w:p>
    <w:p>
      <w:pPr>
        <w:spacing w:after="0" w:line="21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 xml:space="preserve">Expenses of Registration. </w:t>
      </w:r>
      <w:r>
        <w:rPr>
          <w:rFonts w:ascii="Arial" w:cs="Arial" w:eastAsia="Arial" w:hAnsi="Arial"/>
          <w:sz w:val="18"/>
          <w:szCs w:val="18"/>
          <w:color w:val="auto"/>
        </w:rPr>
        <w:t>We will pay all expenses relating to registration, fillings or qualifications, with certain limited exception,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 participating in a registration will bear its proportionate share of all selling expenses or other amounts payable to underwriters or brokers, if any, in connection with the offering by such holder.</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Termination of Registration Rights</w:t>
      </w:r>
      <w:r>
        <w:rPr>
          <w:rFonts w:ascii="Arial" w:cs="Arial" w:eastAsia="Arial" w:hAnsi="Arial"/>
          <w:sz w:val="18"/>
          <w:szCs w:val="18"/>
          <w:color w:val="auto"/>
        </w:rPr>
        <w:t>. Such registration rights would terminate upon the earlier of (i) the date that is five (5) years after the closing of</w:t>
      </w:r>
      <w:r>
        <w:rPr>
          <w:rFonts w:ascii="Arial" w:cs="Arial" w:eastAsia="Arial" w:hAnsi="Arial"/>
          <w:sz w:val="18"/>
          <w:szCs w:val="18"/>
          <w:i w:val="1"/>
          <w:iCs w:val="1"/>
          <w:color w:val="auto"/>
        </w:rPr>
        <w:t xml:space="preserve"> </w:t>
      </w:r>
      <w:r>
        <w:rPr>
          <w:rFonts w:ascii="Arial" w:cs="Arial" w:eastAsia="Arial" w:hAnsi="Arial"/>
          <w:sz w:val="18"/>
          <w:szCs w:val="18"/>
          <w:color w:val="auto"/>
        </w:rPr>
        <w:t>our initial public offering in June 2020, or (ii) such time at which all registrable securities held by the holders of our then preferred shares may be sold without restriction under Rule 144(k) of the Securities Act within a ninety-day period.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“Item 6. Directors, Senior Management and Employees—B. Compensation—Employment Agreements and Indemnification Agreements.”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Awards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6. Directors, Senior Management and Employees—B. Compensation—Share Incentive Awards.”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with EaSuMed</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We invested in and are currently a minority shareholder of EaSuMed Holding Ltd., or EaSuMed, a medical service provider. In 2020, we paid service fees in the amount of RMB0.8 million (US$0.1 million) to EaSuMed, which was mainly related to consulting services EaSuMed provided to us.</w:t>
      </w:r>
    </w:p>
    <w:p>
      <w:pPr>
        <w:spacing w:after="0" w:line="268"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of Experts and Counsel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8. FINANCIAL INFORMATION</w:t>
      </w:r>
    </w:p>
    <w:p>
      <w:pPr>
        <w:spacing w:after="0" w:line="131"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appended consolidated financial statements filed as part of this annual report.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From time to time, we may become a party to various legal or administrative proceedings arising in the ordinary course of our business, including actions with respect to intellectual property infringement, violation of third-party licenses or other rights, breach of contract and labor and employment claims. We are currently not a party to, and we are not aware of any threat of, any legal or administrative proceedings that, in the opinion of our management, are likely to have any material and adverse effect on our business, financial condition, cash-flow or results of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board of directors has discretion on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We do not have any present plan to pay any cash dividends on our ordinary shares in the foreseeable future. We currently intend to retain most, if not all, of our available funds and any future earnings to operate and expand our business.</w:t>
      </w:r>
    </w:p>
    <w:p>
      <w:pPr>
        <w:spacing w:after="0" w:line="19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we pay any dividends on our ordinary shares, we will pay those dividends which are payable in respect of the underlying Class A ordinary shares represented by our ADSs to the depositary, as the registered holder of such Class A ordinary shares, and the depositary then will pay such amounts to our ADS holders in proportion to the underlying Class A ordinary shares represented by the ADSs held by such ADS holders, subject to the terms of the deposit agreement, including the fees and expenses payable thereunder. Cash dividends on our ordinary shares, if any, will be paid in U.S. dollars.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Significant Changes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274" w:lineRule="exact"/>
        <w:rPr>
          <w:sz w:val="20"/>
          <w:szCs w:val="20"/>
          <w:color w:val="auto"/>
        </w:rPr>
      </w:pPr>
    </w:p>
    <w:p>
      <w:pPr>
        <w:ind w:left="560"/>
        <w:spacing w:after="0"/>
        <w:tabs>
          <w:tab w:leader="none" w:pos="1380" w:val="left"/>
        </w:tabs>
        <w:rPr>
          <w:sz w:val="20"/>
          <w:szCs w:val="20"/>
          <w:color w:val="auto"/>
        </w:rPr>
      </w:pPr>
      <w:r>
        <w:rPr>
          <w:rFonts w:ascii="Arial" w:cs="Arial" w:eastAsia="Arial" w:hAnsi="Arial"/>
          <w:sz w:val="18"/>
          <w:szCs w:val="18"/>
          <w:b w:val="1"/>
          <w:bCs w:val="1"/>
          <w:color w:val="auto"/>
        </w:rPr>
        <w:t>ITEM 9.</w:t>
        <w:tab/>
        <w:t>THE OFFER AND LISTING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Offering and Listing Details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ADSs, each representing one Class A ordinary share, have been listed on the NASDAQ Global Market since June 12, 2020. Our ADSs trade under the symbol “BNR.” In 2020, no significant trading suspensions occurred.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Plan of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Markets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ADSs have been traded on the NASDAQ Global Market under the symbol “BNR” since June 12, 2020.</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Selling 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 Dilution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 Expense of the Issue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60"/>
        <w:spacing w:after="0"/>
        <w:tabs>
          <w:tab w:leader="none" w:pos="146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Share Capital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are summaries of material provisions of our tenth amended and restated memorandum and articles of association, as currently in effect, insofar as they relate to the material terms of our ordinary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Holders of Class A ordinary shares and Class B ordinary shares will have the same rights except for voting and conversion rights. All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outstanding ordinary shares are fully paid and non-assessable. Certificates representing the ordinary shares are issued in registered form. Our shareholders who are non-residents of the Cayman Islands may freely hold and transfer their ordinary shares.</w:t>
      </w:r>
    </w:p>
    <w:p>
      <w:pPr>
        <w:spacing w:after="0" w:line="165"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Each Class B ordinary share is convertible into one (1) Class A ordinary share at any time by the holder thereof. Class A ordinary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are not convertible into Class B ordinary shares under any circumstances. Upon any sale, transfer, assignment or disposition of any Class B ordinary share by a holder thereof to any person who is not an affiliate of such holder, or upon a change of control of any Class B ordinary share to any person who is not an affiliate of the registered shareholder of such Class B ordinary share, such Class B ordinary share shall be automatically and immediately converted into one Class A ordinary share. Furthermore, each Class B ordinary share will be automatically converted into one Class A ordinary share, if (i) at any time the holder thereof and the affiliates of such holder collectively hold less than 5% of the total number of our issued and outstanding shares, or (ii) at any time the holder thereof and the affiliates of such holder collectively hold less than 8.5% of the total number of our issued and outstanding shares and the holder thereof is no longer providing services to us in a position equivalent to or above vice president.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40"/>
          </w:cols>
          <w:pgMar w:left="320" w:top="459" w:right="5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holders of our ordinary shares are entitled to such dividends as may be declared by our board of directors. Our current articles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Holders of ordinary shares and Class B ordinary shares will be entitled to the same amount of dividends, if declared.</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Holders of Class A ordinary shares and Class B ordinary shares shall, at all times, vote together as one class on all matters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submitted to a vote by the members. Each Class A ordinary share shall be entitled to one vote on all matters subject to vote at general and special meetings of our company and each Class B ordinary share shall be entitled to six (6) votes on all matters subject to vote at general and special meetings of our company.</w:t>
      </w:r>
    </w:p>
    <w:p>
      <w:pPr>
        <w:spacing w:after="0" w:line="18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Voting at any meeting of shareholders is by show of hands unless a poll is demanded. A poll may be demanded by the chairman of such meeting or any one or more shareholders who together hold not less than 10% of the nominal value of the total issued voting shares of our company present in person or by proxy. 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making changes to our current memorandum and articles of association.</w:t>
      </w:r>
    </w:p>
    <w:p>
      <w:pPr>
        <w:spacing w:after="0" w:line="192"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b w:val="1"/>
          <w:bCs w:val="1"/>
          <w:i w:val="1"/>
          <w:iCs w:val="1"/>
          <w:color w:val="auto"/>
        </w:rPr>
        <w:t xml:space="preserve">Transfer of Ordinary Shares. </w:t>
      </w:r>
      <w:r>
        <w:rPr>
          <w:rFonts w:ascii="Arial" w:cs="Arial" w:eastAsia="Arial" w:hAnsi="Arial"/>
          <w:sz w:val="16"/>
          <w:szCs w:val="16"/>
          <w:color w:val="auto"/>
        </w:rPr>
        <w:t>Subject to the restrictions contained in our current articles of association, any of our shareholders may transfer all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of his or her ordinary shares by an instrument of transfer in the usual or common form or any other form approved by our board of directors.</w:t>
      </w:r>
    </w:p>
    <w:p>
      <w:pPr>
        <w:spacing w:after="0" w:line="12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1080" w:right="560" w:hanging="424"/>
        <w:spacing w:after="0" w:line="308"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ordinary share is to be transferred does not exceed four; and</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fee of such maximum sum as the NASDAQ Global Market may determine to be payable or such lesser sum as our directors may from time to time require is paid to us in respect thereof.</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registration of transfers may, after compliance with any notice required of the NASDAQ Global Market, be suspended and the register of members closed at such times and for such periods as our board of directors may from time to time determine, provided, however, that the registration of transfers shall not be suspended nor the register of members closed for more than 30 days in any year as our board may determine.</w:t>
      </w:r>
    </w:p>
    <w:p>
      <w:pPr>
        <w:spacing w:after="0" w:line="14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Liquidation. </w:t>
      </w:r>
      <w:r>
        <w:rPr>
          <w:rFonts w:ascii="Arial" w:cs="Arial" w:eastAsia="Arial" w:hAnsi="Arial"/>
          <w:sz w:val="18"/>
          <w:szCs w:val="18"/>
          <w:color w:val="auto"/>
        </w:rPr>
        <w:t>On a return of capital on winding up or otherwise (other than on conversion, redemption or purchase of ordinary shares),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for distribution among the holders of ordinary shares shall be distributed among the holders of the ordinary shares on a pro rata basis. If our assets available for distribution are insufficient to repay all of the paid-up capital, the assets will be distributed so that the losses are borne by our shareholders proportionately.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Calls on Ordinary Shares and Forfeiture of Ordinary Shares. </w:t>
      </w:r>
      <w:r>
        <w:rPr>
          <w:rFonts w:ascii="Arial" w:cs="Arial" w:eastAsia="Arial" w:hAnsi="Arial"/>
          <w:sz w:val="18"/>
          <w:szCs w:val="18"/>
          <w:color w:val="auto"/>
        </w:rPr>
        <w:t>Our board of directors may from time to time make calls upon shareholders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amounts unpaid on their ordinary shares in a notice served to such shareholders at least 14 clear days prior to the specified time of payment. The ordinary shares that have been called upon and remain unpaid are subject to forfeiture.</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Redemption of Ordinary Shares. </w:t>
      </w:r>
      <w:r>
        <w:rPr>
          <w:rFonts w:ascii="Arial" w:cs="Arial" w:eastAsia="Arial" w:hAnsi="Arial"/>
          <w:sz w:val="18"/>
          <w:szCs w:val="18"/>
          <w:color w:val="auto"/>
        </w:rPr>
        <w:t>The Companies Act and our current articles of association permit us to purchase our own shares. In accordance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current articles of association and provided the necessary shareholders or board approval have been obtained, we may issue shares on terms that are subject to redemption, at our option or at the option of the holders of these shares, on such terms and in such manner, including out of capital, as may be determined by our board of directors.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Variations of Rights of Shares. </w:t>
      </w:r>
      <w:r>
        <w:rPr>
          <w:rFonts w:ascii="Arial" w:cs="Arial" w:eastAsia="Arial" w:hAnsi="Arial"/>
          <w:sz w:val="18"/>
          <w:szCs w:val="18"/>
          <w:color w:val="auto"/>
        </w:rPr>
        <w:t>All or any of the special rights attached to any class of shares may, subject to the provisions of the Companies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 materially adversely varied with the written consent of the holders of all of the issued shares of that class or with the sanction of an ordinary resolution passed at a general meeting of the holders of the shares of that class.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 The rights of the holders of any shares shall not be deemed to be materially adversely varied by the creation or issue of shares with preferred or other rights including, without limitation, the creation of shares with enhanced or weighted voting rights.</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General Meetings of Shareholders</w:t>
      </w:r>
    </w:p>
    <w:p>
      <w:pPr>
        <w:spacing w:after="0" w:line="12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Shareholders’ meetings may be convened by a majority of our board of directors or our chairman. Advance notice of at least seven (7) calendar days is required for the convening of our annual general shareholders’ meeting and any other general meeting of our shareholders. A quorum required for and throughout a meeting of shareholders consists of at least one shareholder entitled to vote and present in person or by proxy or (in the case of a shareholder being a corporation) by its duly authorized representative representing not less than one-third of all voting power of our share capital in issue.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Inspection of Books and Records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Holders of our ordinary shares will have no general right under Cayman Islands law to inspect or obtain copies of our list of shareholders or our corporate records. (other than copies of our memorandum and articles of association and register of mortgages and charges, and any special resolutions passed by our shareholders). Under Cayman Islands law, the names of our current directors can be obtained from a search conducted at the Registrar of Companies. However, we will in our articles provide our shareholders with the right to inspect our list of shareholders and to receive annual audited financial statements.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Changes in Capital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from time to time by ordinary resolution:</w:t>
      </w:r>
    </w:p>
    <w:p>
      <w:pPr>
        <w:spacing w:after="0" w:line="131"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increase the share capital by such sum, to be divided into shares of such classes and amount, as the resolution shall prescribe;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or</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We may by special resolution, subject to any confirmation or consent required by the Companies Act, reduce our share capital or any capital redemption reserve in any manner permitted by law.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Office and Objects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registered office in the Cayman Islands is located at the offices of Maples Corporate Services Limited, P.O. Box 309, Ugland House, Grand Cayman KY1-1104, Cayman Islands, or at such other location within the Cayman Islands as our directors may from time to time decide. The objects for which our company is established are unrestricted and we have full power and authority to carry out any object not prohibited by the Companies Act or any other law of the Cayman Islands.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6. Directors, Senior Management and Employees—C. Board Practice.”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Exempted Company</w:t>
      </w:r>
    </w:p>
    <w:p>
      <w:pPr>
        <w:spacing w:after="0" w:line="12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We are an exempted company with limited liability incorporated under the Companies Act. The Companies Act in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77"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may issue no par value shares;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225"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 We are subject to reporting and other informational requirements of the Exchange Act, as applicable to foreign private issuers. The NASDAQ Global Market rules require that every company listed on the NASDAQ Global Market hold an annual general meeting of shareholders. In addition, our current articles of association allow directors to call special meeting of shareholders pursuant to the procedures set forth in our articles.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The Companies Act is modeled after that of England and Wales but does not follow recent statutory enactments in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State of Delaware.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117"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A merger of two or more constituent companies under Cayman Islands law requires a plan of merger or consolidation to be approved by the directors of each constituent company and authorization by a special resolution of the members of each constituent company.</w:t>
      </w:r>
    </w:p>
    <w:p>
      <w:pPr>
        <w:spacing w:after="0" w:line="14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Dissenting shareholders have the right to be paid the fair value of their shares (which, if not agreed between the parties, will be determined by the Cayman Islands court) if they follow the required procedures, subject to certain exceptions.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 Court approval is not required for a merger or consolidation which is effected in compliance with these statutory procedures.</w:t>
      </w:r>
    </w:p>
    <w:p>
      <w:pPr>
        <w:spacing w:after="0" w:line="18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addition, there are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70"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Companies Act also contains a statutory power of compulsory acquisition which may facilitate the “squeeze out” of dissentient minority shareholder upon a takeover offer. When a takeover offer is made and accepted by holders of 90% of the shares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8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If an arrangement and reconstruction by way of scheme of arrangement is thus approved, or if a takeover offer is made and accepted, in accordance with the foregoing statutory procedures, the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117"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89"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 of Directors and Executive Officers and Limitation of Liability</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 memorandum and articles of association permit indemnification of officers and directors for losses, damages, costs and expenses incurred in their capacities as such unless such losses or damages arise from dishonesty or fraud which may attach to such directors or officers. This standard of conduct is generally the same as permitted under the Delaware General Corporation Law for a Delaware corporation. In addition, we intend to enter into indemnification agreements with our directors and senior executive officers that will provide such persons with additional indemnification beyond that provided in our current memorandum and articles of association.</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Anti-Takeover Provisions in the Memorandum and Articles of Association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Some provisions of our current memorandum and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87"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current memorandum and articles of association, as amended and restated from time to time, for what they believe in good faith to be in the best interests of our company.</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or her position as director (unless the company permits him to do so) and a duty not to put himself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Shareholder Action by Written Consent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Delaware General Corporation Law, a corporation may eliminate the right of shareholders to act by written consent by amendment to its certificate of incorporation. Our current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exempted Cayman Islands company, we are not obliged by law to call shareholders’ annual general meetings.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current memorandum and articles of association do not provide for cumulative voting. As a result, our shareholders are not afforded any less protections or rights on this issue than shareholders of a Delaware corporation.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660" w:firstLine="440"/>
        <w:spacing w:after="0" w:line="286" w:lineRule="auto"/>
        <w:rPr>
          <w:sz w:val="20"/>
          <w:szCs w:val="20"/>
          <w:color w:val="auto"/>
        </w:rPr>
      </w:pPr>
      <w:r>
        <w:rPr>
          <w:rFonts w:ascii="Arial" w:cs="Arial" w:eastAsia="Arial" w:hAnsi="Arial"/>
          <w:sz w:val="17"/>
          <w:szCs w:val="17"/>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current memorandum and articles of association, directors may be removed by an ordinary resolution of shareholders.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Dissolution; Winding Up</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9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Under the Companies Act and our current memorandum and articles of association, our company may be dissolved, liquidated or wound up with the sanction of a special resolution at a meeting.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Under the Delaware General Corporation Law, a corporation may vary the rights of a class of shares with the approval of a majority of the outstanding shares of such class, unless the certificate of incorporation provides otherwise. Under our current memorandum and articles of association, if our share capital is divided into more than one class of shares, we may vary the rights attached to any class only with the sanction of an ordinary resolution passed at a general meeting of the holders of the shares of that class or the written consent the holders of all of the issued shares of that class.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Under the Delaware General Corporation Law, a corporation’s governing documents may be amended with the approval of a majority of the outstanding shares entitled to vote, unless the certificate of incorporation provides otherwise. As permitted by Cayman Islands law, our current articles of association may only be amended by a special resolution of shareholders.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There are no limitations imposed by our current memorandum and articles of association on the rights of non-resident or foreign shareholders to hold or exercise voting rights on our shares. In addition, there are no provisions in our current memorandum and articles of association that require our company to disclose shareholder ownership above any particular ownership threshold.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Directors’ Power to Issue Shares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Subject to applicable law, our board of directors is empowered to issue or allot shares or grant options and warrants with or without preferred, deferred, qualified or other special rights or restrictions.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Material Contracts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not entered into any material contracts other than in the ordinary course of business and other than those described in “Item 4. Information on the Company,” “Item 7. Major Shareholders and Related Party Transactions—B. Related Party Transactions,” or elsewhere in this annual report on Form 20-F.</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Exchange Controls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4. Information on the Company—B. Business Overview—Regulation—Regulations Relating to Foreign Exchange.”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60" w:hanging="204"/>
        <w:spacing w:after="0"/>
        <w:tabs>
          <w:tab w:leader="none" w:pos="7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17" w:lineRule="exact"/>
        <w:rPr>
          <w:rFonts w:ascii="Arial" w:cs="Arial" w:eastAsia="Arial" w:hAnsi="Arial"/>
          <w:sz w:val="18"/>
          <w:szCs w:val="18"/>
          <w:b w:val="1"/>
          <w:bCs w:val="1"/>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Payments of dividends and capital in respect of our ADSs or ordinary shares will not be subject to taxation in the Cayman Islands and no withholding will be required on the payment of a dividend or capital to any holder of ADSs or ordinary shares, nor will gains derived from the disposal of ADSs or ordinary shares be subject to Cayman Islands income or corporation tax.</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 stamp duty is payable in respect of the issue of ADSs or ordinary shares or on an instrument of transfer in respect of ADSs or ordinary shares.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PRC Taxation</w:t>
      </w:r>
    </w:p>
    <w:p>
      <w:pPr>
        <w:spacing w:after="0" w:line="121"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China with a “de facto management body” within China is considered as a resident enterprise. The implementation rules define the term “de facto management body” as the body that exercises full and substantial control and overall management over the business, productions, personnel, accounts and properties of an enterprise. In April 2009, the SAT issued the Circular Regarding the Determination of Chinese-Controlled Overseas Incorporated Enterprises as PRC Tax Resident Enterprises on the Basis of De Facto Management Bodies,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w:t>
      </w:r>
    </w:p>
    <w:p>
      <w:pPr>
        <w:spacing w:after="0" w:line="5" w:lineRule="exact"/>
        <w:rPr>
          <w:sz w:val="20"/>
          <w:szCs w:val="20"/>
          <w:color w:val="auto"/>
        </w:rPr>
      </w:pPr>
    </w:p>
    <w:p>
      <w:pPr>
        <w:ind w:left="120" w:right="80" w:hanging="4"/>
        <w:spacing w:after="0" w:line="268" w:lineRule="auto"/>
        <w:tabs>
          <w:tab w:leader="none" w:pos="335"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 In 2011, the SAT issued the Administrative Measures for Enterprise Income Tax of Chinese-Controlled Overseas Incorporated Resident Enterprises (Trial Version), or Bulletin No. 45, which further clarifies certain issues related to the determination of tax resident status and competent tax authorities. It also specifies that when provided with a copy of Recognition of Residential Status from a resident Chinese-controlled offshore-incorporated enterprise, a payer does not need to withhold income tax when paying certain PRC-sourced income such as dividends, interest and royalties to such Chinese-controlled offshore-incorporated enterprise.</w:t>
      </w:r>
    </w:p>
    <w:p>
      <w:pPr>
        <w:spacing w:after="0" w:line="183"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We believe that we are not a PRC resident enterprise for PRC tax purposes. We are not controlled by a PRC enterprise or PRC enterprise group and we do not believe that we meet all of the conditions above. We are a company incorporated outside China and our records (including the minutes and resolutions of our board of directors and the resolutions of our shareholders) are maintained outside China. However, the tax resident status of an enterprise is subject to determination by the PRC tax authorities and uncertainties remain with respect to the interpretation of the term “de facto management body.”</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the PRC tax authorities determine that we are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Class A ordinary shares, if such income is treated as sourced from within China.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our non-PRC shareholders would be able to claim the benefits of any tax treaties between their country of tax residence and China in the event that we are treated as a PRC resident enterprise. See “Item 3. Key Information—D. Risk Factors—Risks Relating to Doing Business in the PRC—You may be subject to PRC income tax on dividends from us or on any gain realized on the transfer of our ADSs.”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is a summary of material U.S. federal income tax considerations that are likely to be relevant to the purchase, ownership and disposition of our Class A ordinary shares or ADSs by a U.S. Holder (as defined below).</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summary is not a comprehensive discussion of all of the tax considerations that may be relevant to a particular investor’s decision to purchase, hold, or dispose of Class A ordinary shares or ADSs. In particular, this summary is directed only to U.S. Holders that hold Class A ordinary shares or ADSs as capital assets and does not address particular tax consequences that may be applicable to U.S. Holders who may be subject to special tax rules, such as banks, brokers or dealers in securities or currencies, traders in securities electing to mark to market, financial institutions, insurance companies, tax-exempt entities, regulated investment companies, entities or arrangements that are treated as partnerships for U.S. federal income tax purposes (or the partners therein), holders that own or are treated as owning 10% or more of our stock by vote or value, persons holding Class A ordinary shares or ADSs as part of a hedging or conversion transaction or a straddle, or persons whose functional currency is not the U.S. dollar. Moreover, this summary does not address state, local or foreign taxes, the U.S. federal estate and gift taxes, or the Medicare contribution tax applicable to net investment income of certain non-corporate U.S. Holders, or alternative minimum tax consequences of acquiring, holding or disposing of Class A ordinary shares or ADSs.</w:t>
      </w:r>
    </w:p>
    <w:p>
      <w:pPr>
        <w:spacing w:after="0" w:line="18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For purposes of this summary, a “U.S. Holder” is a beneficial owner of Class A ordinary shares or ADSs that is a citizen or resident of the U.S. or a U.S. domestic corporation or that otherwise is subject to U.S. federal income taxation on a net income basis in respect of such Class A ordinary shares or ADSs.</w:t>
      </w:r>
    </w:p>
    <w:p>
      <w:pPr>
        <w:spacing w:after="0" w:line="180"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b w:val="1"/>
          <w:bCs w:val="1"/>
          <w:color w:val="auto"/>
        </w:rPr>
        <w:t>You should consult your own tax advisors about the consequences of the acquisition, ownership and disposition of the Class A ordinary shares or ADSs, including the relevance to your particular situation of the considerations discussed below and any consequences arising under foreign, state, local or other tax laws.</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In general, if you are a U.S. Holder of ADSs, you will be treated, for U.S. federal income tax purposes, as the beneficial owner of the underlying Class A ordinary shares that are represented by those ADSs. References to “shares” below apply to both Class A ordinary shares and ADSs, unless the context indicates otherwise.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discussed in “</w:t>
      </w:r>
      <w:r>
        <w:rPr>
          <w:rFonts w:ascii="Arial" w:cs="Arial" w:eastAsia="Arial" w:hAnsi="Arial"/>
          <w:sz w:val="17"/>
          <w:szCs w:val="17"/>
          <w:i w:val="1"/>
          <w:iCs w:val="1"/>
          <w:color w:val="auto"/>
        </w:rPr>
        <w:t>Dividend Policy</w:t>
      </w:r>
      <w:r>
        <w:rPr>
          <w:rFonts w:ascii="Arial" w:cs="Arial" w:eastAsia="Arial" w:hAnsi="Arial"/>
          <w:sz w:val="17"/>
          <w:szCs w:val="17"/>
          <w:color w:val="auto"/>
        </w:rPr>
        <w:t>,” we do not have any present plan to pay any cash dividends on our ordinary shares in the foreseeable future. Subject to the discussion below under “Passive Foreign Investment Company Rules,” the gross amount of any distribution of cash or property with respect to our shares (including amounts, if any, withheld in respect of PRC taxes) that is paid out of our current or accumulated earnings and profits (as determined for U.S. federal income tax purposes) will generally be includible in your taxable income as ordinary dividend income on the day on which you receive the dividend, in the case of Class A ordinary shares, or the date the depositary receives the dividends, in the case of ADSs, and will not be eligible for the dividends-received deduction allowed to U.S. corporations under the Code.</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320" w:top="459" w:right="5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Subject to certain exceptions for short-term positions, the U.S. dollar amount of dividends received by a non-corporate U.S. Holder with respect to the shares will be subject to taxation at a preferential rate if the dividends are “qualified dividends.” Dividends paid on shares will be treated as qualified dividends if:</w:t>
      </w:r>
    </w:p>
    <w:p>
      <w:pPr>
        <w:spacing w:after="0" w:line="89" w:lineRule="exact"/>
        <w:rPr>
          <w:sz w:val="20"/>
          <w:szCs w:val="20"/>
          <w:color w:val="auto"/>
        </w:rPr>
      </w:pPr>
    </w:p>
    <w:p>
      <w:pPr>
        <w:ind w:left="1080" w:right="360" w:hanging="424"/>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shares are readily tradable on an established securities market in the U.S. or we are eligible for the benefits of a comprehensive tax treaty with the U.S. that the U.S. Treasury determines is satisfactory for purposes of this provision and that includes an exchange of information program;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were not, in the year prior to the year in which the dividend was paid, and are not, in the year in which the dividend is paid, a passive foreign investment company (a “PFIC”).</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ADSs are listed on the NASDAQ Global Market, and the ADSs will qualify as readily tradable on an established securities market in the U.S. so long as they are so listed. Based on our financial statements, the manner in which we conduct our business, relevant market data, the value and nature of our assets, the sources and nature of our income, and our expectations for the future, we do not believe we were a PFIC for our prior taxable year and we do not anticipate being a PFIC for our current taxable year or in the foreseeable future. Holders should consult their own tax advisors regarding the availability of the reduced dividend tax rate in light of their own particular circumstances.</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Because the Class A ordinary shares are not themselves listed on a U.S. exchange, dividends received with respect to shares that are not represented by ADSs may not be treated as qualified dividends. U.S. Holders should consult their own tax advisors regarding the potential availability of the reduced dividend tax rate in respect of shares.</w:t>
      </w:r>
    </w:p>
    <w:p>
      <w:pPr>
        <w:spacing w:after="0" w:line="18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the event that we are deemed to be a PRC resident enterprise under the PRC Enterprise Income Tax Law (see “E. Taxation—PRC Taxation”), a U.S. Holder may be subject to PRC withholding taxes on dividends paid on our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shares would be eligible for the reduced rates of taxation described above (assuming we are not a PFIC in the year the dividend is paid or the prior year).</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Dividend distributions with respect to our shares generally will be treated as “passive category” income from sources outside the U.S. for purposes of determining a U.S. Holder’s U.S. foreign tax credit limitation.</w:t>
      </w:r>
    </w:p>
    <w:p>
      <w:pPr>
        <w:spacing w:after="0" w:line="17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Subject to the limitations and conditions provided in the Code and the applicable U.S. Treasury Regulations, a U.S.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under their particular circumstances.</w:t>
      </w:r>
    </w:p>
    <w:p>
      <w:pPr>
        <w:spacing w:after="0" w:line="164"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U.S. Holders that receive distributions of additional shares or rights to subscribe for shares as part of a pro rata distribution to all our shareholders generally will not be subject to U.S. federal income tax in respect of the distributions, unless the U.S. Holder has the right to receive cash or property, in which case the U.S. Holder will be treated as if it received cash equal to the fair market value of the distribution.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Taxation of Dispositions of Shares</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Subject to the discussion below under “Passive Foreign Investment Company Rules,” upon a sale, exchange or other taxable disposition of the shares, U.S. Holders will realize gain or loss for U.S. federal income tax purposes in an amount equal to the difference between the amount realized on the disposition and the U.S. Holder’s adjusted tax basis in the shares, both as determined in U.S. dollars. Such gain or loss will be capital gain or loss, and will generally be long-term capital gain or loss if the shares have been held for more than one year. Long-term capital gain realized by a non-corporate U.S. Holder is subject to taxation at a preferential rate. The deductibility of capital losses is subject to limitations.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Gain, if any, realized by a U.S. Holder on the sale or other disposition of the shares generally will be treated as U.S.- source income for U.S. foreign tax credit purposes. Consequently, if PRC tax is imposed on the sale or disposition of the shares (see “E. Taxation—PRC Taxation”), a U.S. Holder that does not receive significant foreign source income from other sources may not be able to derive effective U.S. foreign tax credit benefits in respect of such PRC tax. However, in the event that gain from the disposition of the shares is subject to tax in the PRC, and a U.S. Holder is eligible for the benefits of the Treaty, such U.S. Holder may elect to treat such gain as PRC source gain under the Treaty. U.S. Holders should consult their own tax advisors regarding the application of the foreign tax credit rules to their investment in, and disposition of, the shares.</w:t>
      </w:r>
    </w:p>
    <w:p>
      <w:pPr>
        <w:spacing w:after="0" w:line="16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Deposits and withdrawals of Class A ordinary shares by U.S. Holders in exchange for ADSs will not result in the realization of gain or loss for U.S. federal income tax purposes.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Special U.S. tax rules apply to companies that are considered to be PFICs. We will be classified as a PFIC in a particular taxable year if, either</w:t>
      </w:r>
    </w:p>
    <w:p>
      <w:pPr>
        <w:spacing w:after="0" w:line="154"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75 percent or more of our gross income for the taxable year is passive income; or</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average percentage of the value of our assets (based on an average of the quarterly values) that produce or are held for the production of passive income is at least 50 percent (the “asset test”).</w:t>
      </w:r>
    </w:p>
    <w:p>
      <w:pPr>
        <w:spacing w:after="0" w:line="170"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For this purpose, passive income generally includes dividends, interest, gains from certain commodities transactions, rents, royalties and the excess of gains over losses from the disposition of assets that produce passive income. If we own at least 25% (by value) of the stock of another corporation, for purposes of determining whether we are a PFIC, we will be treated as owning our proportionate share of the other corporation’s assets and receiving our proportionate share of the other corporation’s income. Although the law in this regard is not entirely clear, we treat our VIE as being owned by us for U.S. federal income tax purposes because we control its management decisions and are entitled to substantially all of the economic benefits associated with it.</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Based on our financial statements, the manner in which we conduct our business, relevant market data, the value and nature of our assets, the sources and nature of our income, and our expectations for the future, we do not believe we were a PFIC for our prior taxable year and we do not anticipate being a PFIC for our current taxable year or in the foreseeable future. However, because the PFIC tests must be applied each year, and the composition of our income and assets and the value of our assets may change, and because the treatment of our VIE for U.S. federal income tax purposes is not entirely clear, it is possible that we may be a PFIC in the current or a future taxable year. In particular, because the value of our assets for purposes of the asset test may be determined by reference to the market price of our ADSs, fluctuations in the market price of our ADSs may cause us to become a PFIC for the current or subsequent taxable years. The determination of whether we are a PFIC also may be affected by how, and how quickly, we use our cash and other liquid assets.</w:t>
      </w:r>
    </w:p>
    <w:p>
      <w:pPr>
        <w:spacing w:after="0" w:line="17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If we are classified as a PFIC for any taxable year during which a U.S. Holder holds shares and such U.S. Holder does not make the election described below, such U.S. Holder will be subject to a special tax at ordinary income tax rates on “excess distributions” (generally, any distributions that a U.S. Holder receives in a taxable year that are greater than 125 percent of the average annual distributions that such U.S. Holder has received in the preceding three taxable years, or its holding period, if shorter), as well as any gain that such U.S. Holder recognizes on the sale or other disposition of its shares. Under these rules (a) the excess distribution or gain will be allocated ratably over the U.S. Holder’s holding period for the shares, (b) the amount allocated to the current taxable year and any taxable year prior to the first taxable year in which we are a PFIC will be taxed as ordinary income, and</w:t>
      </w:r>
    </w:p>
    <w:p>
      <w:pPr>
        <w:spacing w:after="0" w:line="4" w:lineRule="exact"/>
        <w:rPr>
          <w:sz w:val="20"/>
          <w:szCs w:val="20"/>
          <w:color w:val="auto"/>
        </w:rPr>
      </w:pPr>
    </w:p>
    <w:p>
      <w:pPr>
        <w:ind w:left="120" w:right="40" w:hanging="4"/>
        <w:spacing w:after="0" w:line="255" w:lineRule="auto"/>
        <w:tabs>
          <w:tab w:leader="none" w:pos="3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Classification as a PFIC may also have other adverse tax consequences, including, in the case of individuals, the denial of a step-up in the basis of shares at death.</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we are a PFIC and we have any direct, and in certain circumstances, indirect subsidiaries that are PFICs (each a “Subsidiary PFIC”), a U.S. Holder will be treated as owning its pro rata share of the stock of each such Subsidiary PFIC and will be subject to the PFIC rules with respect to each such Subsidiary PFIC.</w:t>
      </w:r>
    </w:p>
    <w:p>
      <w:pPr>
        <w:spacing w:after="0" w:line="184" w:lineRule="exact"/>
        <w:rPr>
          <w:sz w:val="20"/>
          <w:szCs w:val="20"/>
          <w:color w:val="auto"/>
        </w:rPr>
      </w:pPr>
    </w:p>
    <w:p>
      <w:pPr>
        <w:ind w:left="120" w:right="440" w:firstLine="440"/>
        <w:spacing w:after="0" w:line="257" w:lineRule="auto"/>
        <w:rPr>
          <w:sz w:val="20"/>
          <w:szCs w:val="20"/>
          <w:color w:val="auto"/>
        </w:rPr>
      </w:pPr>
      <w:r>
        <w:rPr>
          <w:rFonts w:ascii="Arial" w:cs="Arial" w:eastAsia="Arial" w:hAnsi="Arial"/>
          <w:sz w:val="18"/>
          <w:szCs w:val="18"/>
          <w:color w:val="auto"/>
        </w:rPr>
        <w:t>A U.S. Holder may be able to avoid the unfavorable rules described above by electing to mark its ADSs to market, provided the ADSs are considered “marketable.” The ADSs will be marketable if they are regularly traded on one of certain qualifying stock exchanges, including the NASDAQ Global Market. It should be noted that only the ADSs and not the Class A ordinary shares have been approved for listing on NASDAQ Global Market. Consequently, a U.S. Holder that holds Class A ordinary shares that are not represented by ADSs may not be eligible to make a mark-to-market election.</w:t>
      </w:r>
    </w:p>
    <w:p>
      <w:pPr>
        <w:spacing w:after="0" w:line="188"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If the U.S. Holder makes a mark-to-market election with respect to its ADSs, the holder will be required in any year in which we are a PFIC to include as ordinary income the excess of the fair market value of its ADSs at year-end over the holder’s basis in those ADSs. If at the end of the U.S. Holder’s taxable year for a year in which we were a PFIC, the holder’s basis in the ADSs exceeds their fair market value, the holder will be entitled to deduct the excess as an ordinary loss, but only to the extent of the holder’s net mark-to-market gains from previous years. The holder’s adjusted tax basis in the ADSs will be adjusted to reflect any income or loss recognized under these rules. In addition, any gain the U.S. Holder recognizes upon the sale or other disposition of its ADSs in a year in which we were a PFIC will be taxed as ordinary income in the year of sale and any loss will be treated as an ordinary loss to the extent of the U.S. Holder’s net mark-to-market gains from previous years. However, a U.S. Holder will not be able to make a mark-to-market election with respect to the stock of any Subsidiary PFIC. Therefore, if we are a PFIC, the mark-to-market election will not be available to mitigate the adverse tax consequences attributable to any Subsidiary PFIC.</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Once made, the election cannot be revoked without the consent of the IRS unless the shares cease to be marketable.</w:t>
      </w:r>
    </w:p>
    <w:p>
      <w:pPr>
        <w:spacing w:after="0" w:line="22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unfavorable rules described above may also be avoided if a U.S. Holder is eligible for and makes a valid qualified electing fund election, or QEF election. If a QEF election is made, such U.S. Holder generally will be required to include in income on a current basis its pro rata share of the PFIC’s ordinary income and net capital gains, regardless of whether or not such earnings and gains are actually distributed to such U.S. Holder. We do not intend, however, to prepare or provide the information that would enable U.S. Holders to make QEF elections.</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 U.S. Holder that owns an equity interest in a PFIC generally must annually file IRS Form 8621, and may be required to file other IRS forms. A failure to file one or more of these forms as required may toll the running of the statute of limitations in respect of each of the holder’s taxable years for which such form is required to be filed. As a result, the taxable years with respect to which the U.S. Holder fails to file the form may remain open to assessment by the IRS indefinitely, until the form is filed.</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 should consult your own tax advisor regarding the U.S. federal income tax considerations discussed above and the desirability of making a mark-to-market election.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Financial Asset Reporting</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Certain U.S. Holders that own specified foreign financial assets with an aggregate value in excess of U.S.$50,000 on the last day of the taxable year or U.S. $75,000 (and in some circumstances, higher thresholds)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that are not held in accounts maintained by financial institutions. The understatement of income attributable to “specified foreign financial assets” in excess of U.S.$5,000 extends the statute of limitations with respect to the tax return to six years after the return was filed. U.S. Holders who fail to report the required information could be subject to substantial penalties. Prospective investors are encouraged to consult with their own tax advisors regarding the possible application of these rules, including the application of the rules to their particular circumstances.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60"/>
          </w:cols>
          <w:pgMar w:left="320" w:top="459" w:right="5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Dividends paid on shares to a U.S. Holder and proceeds from the sale or other disposition of the shares by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IRS in a timely manner.</w:t>
      </w:r>
    </w:p>
    <w:p>
      <w:pPr>
        <w:spacing w:after="0" w:line="1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holder that is not a U.S. Holder may be required to comply with certification and identification procedures in order to establish its exemption from information reporting and backup withholding.</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 Dividends and Paying Agents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 Statement by Experts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have filed a registration statement, including relevant exhibits, with the SEC on Form F-1 (Registration No. 333-238596) under the Securities Act to register the issuance and sale of our Class A ordinary shares represented by ADSs in relation to our initial public offering. We have also filed a related registration statement on Form F-6 (Registration No. 333-238921) with the SEC to register the ADSs representing our Class A ordinary shares.</w:t>
      </w:r>
    </w:p>
    <w:p>
      <w:pPr>
        <w:spacing w:after="0" w:line="149"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5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IFRS,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 Subsidiary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right="3140" w:firstLine="440"/>
        <w:spacing w:after="0" w:line="378" w:lineRule="auto"/>
        <w:rPr>
          <w:sz w:val="20"/>
          <w:szCs w:val="20"/>
          <w:color w:val="auto"/>
        </w:rPr>
      </w:pPr>
      <w:r>
        <w:rPr>
          <w:rFonts w:ascii="Arial" w:cs="Arial" w:eastAsia="Arial" w:hAnsi="Arial"/>
          <w:sz w:val="18"/>
          <w:szCs w:val="18"/>
          <w:b w:val="1"/>
          <w:bCs w:val="1"/>
          <w:color w:val="auto"/>
        </w:rPr>
        <w:t>ITEM 11. QUALITATIVE AND QUANTITATIVE DISCLOSURES ABOUT MARKET RISK Credit risk</w:t>
      </w:r>
    </w:p>
    <w:p>
      <w:pPr>
        <w:ind w:left="120" w:firstLine="440"/>
        <w:spacing w:after="0" w:line="296" w:lineRule="auto"/>
        <w:rPr>
          <w:sz w:val="20"/>
          <w:szCs w:val="20"/>
          <w:color w:val="auto"/>
        </w:rPr>
      </w:pPr>
      <w:r>
        <w:rPr>
          <w:rFonts w:ascii="Arial" w:cs="Arial" w:eastAsia="Arial" w:hAnsi="Arial"/>
          <w:sz w:val="16"/>
          <w:szCs w:val="16"/>
          <w:color w:val="auto"/>
        </w:rPr>
        <w:t>Our credit risk is mainly associated with cash and cash equivalents, restricted cash, short-term investment, long-term investment, and accounts receivable. We place our cash and cash equivalents, restricted cash, short-term investment and long-term investment with reputable financial institutions of high credit quality. As of December 31, 2020, 55% of our cash and cash equivalents, restricted cash and short-term investments were held at major financial institutions located in the PRC, and 45% were deposited with major financial institutions located outside the PRC. There has been no recent history of default related to these financial institutions. We continue to monitor the credit worthiness of these financial institutions.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Accounts receivables, typically unsecured and denominated in Renminbi, are derived from revenues earned from reputable customers. As of December 31, 2020, we had two customers with a receivable balance exceeding 10% of the total accounts receivable balance. We manage credit risk of accounts receivable through ongoing monitoring of the outstanding balances.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From July 21, 2005, the RMB is permitted to fluctuate within a narrow and managed band against a basket of certain foreign currencies. For U.S. dollar against RMB, there was appreciation of approximately 5.7% and 1.3%, depreciation of approximately 6.3% in the years ended December 31, 2018, 2019 and 2020, respectively. It is difficult to predict how market forces or PRC or U.S. government policy may impact the exchange rate between the RMB and the U.S. dollar in the future.</w:t>
      </w:r>
    </w:p>
    <w:p>
      <w:pPr>
        <w:spacing w:after="0" w:line="18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Our functional currency and reporting currency are the US$ and the RMB, respectively. Most of our revenues and costs are denominated in RMB, while a portion of cash and cash equivalents are denominated in US$. It is difficult to predict how market forces or PRC or U.S. government policy may impact the exchange rate between the Renminbi and the US$ in the future. Any significant fluctuation of the valuation of RMB may materially affect the Group’s cash flows, revenues, earnings and financial position, and the value of any dividends payable on the ADS in US$.</w:t>
      </w:r>
    </w:p>
    <w:p>
      <w:pPr>
        <w:spacing w:after="0" w:line="17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Substantially all of our business is transacted in Renminbi, which is not freely convertible into foreign currencies. All foreign exchange transactions take place either through the PBOC or other authorized financial institution at exchange rates quoted by the PBOC. Approval of foreign currency payments by the PBOC or other regulatory institutions requires submitting a payment application form together with suppliers’ invoices and signed contracts.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Fluctuations in market interest rates may negatively affect our financial condition and results of operations. As of December 31, 2020, most of our borrowings were at fixed rates. We are exposed to fair value interest rate risk due to our borrowings with fixed interest rates. We have not been exposed, nor do we anticipate to be exposed, to material risks due to changes in interest rates, and we have not used any derivative financial instruments to manage our interest risk exposure. However, our future financial condition and results of operations may be affected due to changes in market interest rates.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Since our inception, inflation has not materially affected our results of operations. According to the National Bureau of Statistics of China, the year-over-year percent change in the consumer price index for 2018, 2019 and 2020 were increases of 2.1%, 2.9% and 2.5%, respectively. Although we have not been materially affected by inflation, we may be affected if China experiences higher rates of inflation in the future.</w:t>
      </w:r>
    </w:p>
    <w:p>
      <w:pPr>
        <w:spacing w:after="0" w:line="269"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Debt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Warrants and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Other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American Depositary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80" w:type="dxa"/>
            <w:vAlign w:val="bottom"/>
          </w:tcPr>
          <w:p>
            <w:pPr>
              <w:spacing w:after="0"/>
              <w:rPr>
                <w:sz w:val="20"/>
                <w:szCs w:val="20"/>
                <w:color w:val="auto"/>
              </w:rPr>
            </w:pPr>
            <w:r>
              <w:rPr>
                <w:rFonts w:ascii="Arial" w:cs="Arial" w:eastAsia="Arial" w:hAnsi="Arial"/>
                <w:sz w:val="14"/>
                <w:szCs w:val="14"/>
                <w:color w:val="auto"/>
              </w:rPr>
              <w:t>Service</w:t>
            </w:r>
          </w:p>
        </w:tc>
        <w:tc>
          <w:tcPr>
            <w:tcW w:w="5280" w:type="dxa"/>
            <w:vAlign w:val="bottom"/>
          </w:tcPr>
          <w:p>
            <w:pPr>
              <w:jc w:val="center"/>
              <w:ind w:left="12"/>
              <w:spacing w:after="0"/>
              <w:rPr>
                <w:sz w:val="20"/>
                <w:szCs w:val="20"/>
                <w:color w:val="auto"/>
              </w:rPr>
            </w:pPr>
            <w:r>
              <w:rPr>
                <w:rFonts w:ascii="Arial" w:cs="Arial" w:eastAsia="Arial" w:hAnsi="Arial"/>
                <w:sz w:val="14"/>
                <w:szCs w:val="14"/>
                <w:color w:val="auto"/>
                <w:w w:val="83"/>
              </w:rPr>
              <w:t>Fees</w:t>
            </w:r>
          </w:p>
        </w:tc>
      </w:tr>
      <w:tr>
        <w:trPr>
          <w:trHeight w:val="216"/>
        </w:trPr>
        <w:tc>
          <w:tcPr>
            <w:tcW w:w="5680" w:type="dxa"/>
            <w:vAlign w:val="bottom"/>
          </w:tcPr>
          <w:p>
            <w:pPr>
              <w:ind w:left="80"/>
              <w:spacing w:after="0"/>
              <w:rPr>
                <w:sz w:val="20"/>
                <w:szCs w:val="20"/>
                <w:color w:val="auto"/>
              </w:rPr>
            </w:pPr>
            <w:r>
              <w:rPr>
                <w:rFonts w:ascii="Arial" w:cs="Arial" w:eastAsia="Arial" w:hAnsi="Arial"/>
                <w:sz w:val="18"/>
                <w:szCs w:val="18"/>
                <w:color w:val="auto"/>
                <w:w w:val="96"/>
              </w:rPr>
              <w:t>•  Issuance of ADSs (e.g., an issuance of ADS upon a deposit of Class A</w:t>
            </w:r>
          </w:p>
        </w:tc>
        <w:tc>
          <w:tcPr>
            <w:tcW w:w="5280" w:type="dxa"/>
            <w:vAlign w:val="bottom"/>
          </w:tcPr>
          <w:p>
            <w:pPr>
              <w:jc w:val="center"/>
              <w:ind w:left="12"/>
              <w:spacing w:after="0"/>
              <w:rPr>
                <w:sz w:val="20"/>
                <w:szCs w:val="20"/>
                <w:color w:val="auto"/>
              </w:rPr>
            </w:pPr>
            <w:r>
              <w:rPr>
                <w:rFonts w:ascii="Arial" w:cs="Arial" w:eastAsia="Arial" w:hAnsi="Arial"/>
                <w:sz w:val="18"/>
                <w:szCs w:val="18"/>
                <w:color w:val="auto"/>
                <w:w w:val="91"/>
              </w:rPr>
              <w:t>Up to U.S. 5¢ per ADS issued</w:t>
            </w: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w w:val="92"/>
              </w:rPr>
              <w:t>ordinary shares, upon a change in the ADS(s)-to-Shares ratio, or for any</w:t>
            </w:r>
          </w:p>
        </w:tc>
        <w:tc>
          <w:tcPr>
            <w:tcW w:w="5280" w:type="dxa"/>
            <w:vAlign w:val="bottom"/>
          </w:tcPr>
          <w:p>
            <w:pPr>
              <w:spacing w:after="0"/>
              <w:rPr>
                <w:sz w:val="18"/>
                <w:szCs w:val="18"/>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w w:val="96"/>
              </w:rPr>
              <w:t>other reason), excluding ADS issuances as a result of distributions of</w:t>
            </w:r>
          </w:p>
        </w:tc>
        <w:tc>
          <w:tcPr>
            <w:tcW w:w="5280" w:type="dxa"/>
            <w:vAlign w:val="bottom"/>
          </w:tcPr>
          <w:p>
            <w:pPr>
              <w:spacing w:after="0"/>
              <w:rPr>
                <w:sz w:val="18"/>
                <w:szCs w:val="18"/>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Class A ordinary shares</w:t>
            </w:r>
          </w:p>
        </w:tc>
        <w:tc>
          <w:tcPr>
            <w:tcW w:w="5280" w:type="dxa"/>
            <w:vAlign w:val="bottom"/>
          </w:tcPr>
          <w:p>
            <w:pPr>
              <w:spacing w:after="0"/>
              <w:rPr>
                <w:sz w:val="20"/>
                <w:szCs w:val="20"/>
                <w:color w:val="auto"/>
              </w:rPr>
            </w:pPr>
          </w:p>
        </w:tc>
      </w:tr>
      <w:tr>
        <w:trPr>
          <w:trHeight w:val="310"/>
        </w:trPr>
        <w:tc>
          <w:tcPr>
            <w:tcW w:w="5680" w:type="dxa"/>
            <w:vAlign w:val="bottom"/>
          </w:tcPr>
          <w:p>
            <w:pPr>
              <w:ind w:left="80"/>
              <w:spacing w:after="0"/>
              <w:rPr>
                <w:sz w:val="20"/>
                <w:szCs w:val="20"/>
                <w:color w:val="auto"/>
              </w:rPr>
            </w:pPr>
            <w:r>
              <w:rPr>
                <w:rFonts w:ascii="Arial" w:cs="Arial" w:eastAsia="Arial" w:hAnsi="Arial"/>
                <w:sz w:val="18"/>
                <w:szCs w:val="18"/>
                <w:color w:val="auto"/>
              </w:rPr>
              <w:t>•  Cancellation of ADSs (e.g., a cancellation of ADSs for delivery of</w:t>
            </w:r>
          </w:p>
        </w:tc>
        <w:tc>
          <w:tcPr>
            <w:tcW w:w="5280" w:type="dxa"/>
            <w:vAlign w:val="bottom"/>
          </w:tcPr>
          <w:p>
            <w:pPr>
              <w:jc w:val="center"/>
              <w:ind w:left="32"/>
              <w:spacing w:after="0"/>
              <w:rPr>
                <w:sz w:val="20"/>
                <w:szCs w:val="20"/>
                <w:color w:val="auto"/>
              </w:rPr>
            </w:pPr>
            <w:r>
              <w:rPr>
                <w:rFonts w:ascii="Arial" w:cs="Arial" w:eastAsia="Arial" w:hAnsi="Arial"/>
                <w:sz w:val="18"/>
                <w:szCs w:val="18"/>
                <w:color w:val="auto"/>
                <w:w w:val="91"/>
              </w:rPr>
              <w:t>Up to U.S. 5¢ per ADS cancelled</w:t>
            </w: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w w:val="93"/>
              </w:rPr>
              <w:t>deposited property, upon a change in the ADS(s)-to-Shares ratio, or for</w:t>
            </w:r>
          </w:p>
        </w:tc>
        <w:tc>
          <w:tcPr>
            <w:tcW w:w="5280" w:type="dxa"/>
            <w:vAlign w:val="bottom"/>
          </w:tcPr>
          <w:p>
            <w:pPr>
              <w:spacing w:after="0"/>
              <w:rPr>
                <w:sz w:val="18"/>
                <w:szCs w:val="18"/>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any other reason)</w:t>
            </w:r>
          </w:p>
        </w:tc>
        <w:tc>
          <w:tcPr>
            <w:tcW w:w="5280" w:type="dxa"/>
            <w:vAlign w:val="bottom"/>
          </w:tcPr>
          <w:p>
            <w:pPr>
              <w:spacing w:after="0"/>
              <w:rPr>
                <w:sz w:val="20"/>
                <w:szCs w:val="20"/>
                <w:color w:val="auto"/>
              </w:rPr>
            </w:pPr>
          </w:p>
        </w:tc>
      </w:tr>
      <w:tr>
        <w:trPr>
          <w:trHeight w:val="310"/>
        </w:trPr>
        <w:tc>
          <w:tcPr>
            <w:tcW w:w="5680" w:type="dxa"/>
            <w:vAlign w:val="bottom"/>
          </w:tcPr>
          <w:p>
            <w:pPr>
              <w:ind w:left="80"/>
              <w:spacing w:after="0"/>
              <w:rPr>
                <w:sz w:val="20"/>
                <w:szCs w:val="20"/>
                <w:color w:val="auto"/>
              </w:rPr>
            </w:pPr>
            <w:r>
              <w:rPr>
                <w:rFonts w:ascii="Arial" w:cs="Arial" w:eastAsia="Arial" w:hAnsi="Arial"/>
                <w:sz w:val="18"/>
                <w:szCs w:val="18"/>
                <w:color w:val="auto"/>
                <w:w w:val="98"/>
              </w:rPr>
              <w:t>•  Distribution of cash dividends or other cash distributions (e.g., upon a</w:t>
            </w:r>
          </w:p>
        </w:tc>
        <w:tc>
          <w:tcPr>
            <w:tcW w:w="5280" w:type="dxa"/>
            <w:vAlign w:val="bottom"/>
          </w:tcPr>
          <w:p>
            <w:pPr>
              <w:jc w:val="center"/>
              <w:ind w:left="12"/>
              <w:spacing w:after="0"/>
              <w:rPr>
                <w:sz w:val="20"/>
                <w:szCs w:val="20"/>
                <w:color w:val="auto"/>
              </w:rPr>
            </w:pPr>
            <w:r>
              <w:rPr>
                <w:rFonts w:ascii="Arial" w:cs="Arial" w:eastAsia="Arial" w:hAnsi="Arial"/>
                <w:sz w:val="18"/>
                <w:szCs w:val="18"/>
                <w:color w:val="auto"/>
                <w:w w:val="91"/>
              </w:rPr>
              <w:t>Up to U.S. 5¢ per ADS held</w:t>
            </w: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sale of rights and other entitlements)</w:t>
            </w:r>
          </w:p>
        </w:tc>
        <w:tc>
          <w:tcPr>
            <w:tcW w:w="5280" w:type="dxa"/>
            <w:vAlign w:val="bottom"/>
          </w:tcPr>
          <w:p>
            <w:pPr>
              <w:spacing w:after="0"/>
              <w:rPr>
                <w:sz w:val="20"/>
                <w:szCs w:val="20"/>
                <w:color w:val="auto"/>
              </w:rPr>
            </w:pPr>
          </w:p>
        </w:tc>
      </w:tr>
      <w:tr>
        <w:trPr>
          <w:trHeight w:val="310"/>
        </w:trPr>
        <w:tc>
          <w:tcPr>
            <w:tcW w:w="5680" w:type="dxa"/>
            <w:vAlign w:val="bottom"/>
          </w:tcPr>
          <w:p>
            <w:pPr>
              <w:ind w:left="80"/>
              <w:spacing w:after="0"/>
              <w:rPr>
                <w:sz w:val="20"/>
                <w:szCs w:val="20"/>
                <w:color w:val="auto"/>
              </w:rPr>
            </w:pPr>
            <w:r>
              <w:rPr>
                <w:rFonts w:ascii="Arial" w:cs="Arial" w:eastAsia="Arial" w:hAnsi="Arial"/>
                <w:sz w:val="18"/>
                <w:szCs w:val="18"/>
                <w:color w:val="auto"/>
                <w:w w:val="97"/>
              </w:rPr>
              <w:t>•  Distribution of ADSs pursuant to (i) stock dividends or other free stock</w:t>
            </w:r>
          </w:p>
        </w:tc>
        <w:tc>
          <w:tcPr>
            <w:tcW w:w="5280" w:type="dxa"/>
            <w:vAlign w:val="bottom"/>
          </w:tcPr>
          <w:p>
            <w:pPr>
              <w:jc w:val="center"/>
              <w:ind w:left="12"/>
              <w:spacing w:after="0"/>
              <w:rPr>
                <w:sz w:val="20"/>
                <w:szCs w:val="20"/>
                <w:color w:val="auto"/>
              </w:rPr>
            </w:pPr>
            <w:r>
              <w:rPr>
                <w:rFonts w:ascii="Arial" w:cs="Arial" w:eastAsia="Arial" w:hAnsi="Arial"/>
                <w:sz w:val="18"/>
                <w:szCs w:val="18"/>
                <w:color w:val="auto"/>
                <w:w w:val="91"/>
              </w:rPr>
              <w:t>Up to U.S. 5¢ per ADS held</w:t>
            </w: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5280" w:type="dxa"/>
            <w:vAlign w:val="bottom"/>
          </w:tcPr>
          <w:p>
            <w:pPr>
              <w:spacing w:after="0"/>
              <w:rPr>
                <w:sz w:val="20"/>
                <w:szCs w:val="20"/>
                <w:color w:val="auto"/>
              </w:rPr>
            </w:pPr>
          </w:p>
        </w:tc>
      </w:tr>
      <w:tr>
        <w:trPr>
          <w:trHeight w:val="310"/>
        </w:trPr>
        <w:tc>
          <w:tcPr>
            <w:tcW w:w="5680" w:type="dxa"/>
            <w:vAlign w:val="bottom"/>
          </w:tcPr>
          <w:p>
            <w:pPr>
              <w:ind w:left="80"/>
              <w:spacing w:after="0"/>
              <w:rPr>
                <w:sz w:val="20"/>
                <w:szCs w:val="20"/>
                <w:color w:val="auto"/>
              </w:rPr>
            </w:pPr>
            <w:r>
              <w:rPr>
                <w:rFonts w:ascii="Arial" w:cs="Arial" w:eastAsia="Arial" w:hAnsi="Arial"/>
                <w:sz w:val="18"/>
                <w:szCs w:val="18"/>
                <w:color w:val="auto"/>
              </w:rPr>
              <w:t>•  Distribution of securities other than ADSs or rights to purchase</w:t>
            </w:r>
          </w:p>
        </w:tc>
        <w:tc>
          <w:tcPr>
            <w:tcW w:w="5280" w:type="dxa"/>
            <w:vAlign w:val="bottom"/>
          </w:tcPr>
          <w:p>
            <w:pPr>
              <w:jc w:val="center"/>
              <w:ind w:left="12"/>
              <w:spacing w:after="0"/>
              <w:rPr>
                <w:sz w:val="20"/>
                <w:szCs w:val="20"/>
                <w:color w:val="auto"/>
              </w:rPr>
            </w:pPr>
            <w:r>
              <w:rPr>
                <w:rFonts w:ascii="Arial" w:cs="Arial" w:eastAsia="Arial" w:hAnsi="Arial"/>
                <w:sz w:val="18"/>
                <w:szCs w:val="18"/>
                <w:color w:val="auto"/>
                <w:w w:val="91"/>
              </w:rPr>
              <w:t>Up to U.S. 5¢ per ADS held</w:t>
            </w: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additional ADSs (e.g., upon a spin-off)</w:t>
            </w:r>
          </w:p>
        </w:tc>
        <w:tc>
          <w:tcPr>
            <w:tcW w:w="5280" w:type="dxa"/>
            <w:vAlign w:val="bottom"/>
          </w:tcPr>
          <w:p>
            <w:pPr>
              <w:spacing w:after="0"/>
              <w:rPr>
                <w:sz w:val="20"/>
                <w:szCs w:val="20"/>
                <w:color w:val="auto"/>
              </w:rPr>
            </w:pPr>
          </w:p>
        </w:tc>
      </w:tr>
      <w:tr>
        <w:trPr>
          <w:trHeight w:val="310"/>
        </w:trPr>
        <w:tc>
          <w:tcPr>
            <w:tcW w:w="5680" w:type="dxa"/>
            <w:vAlign w:val="bottom"/>
          </w:tcPr>
          <w:p>
            <w:pPr>
              <w:ind w:left="80"/>
              <w:spacing w:after="0"/>
              <w:rPr>
                <w:sz w:val="20"/>
                <w:szCs w:val="20"/>
                <w:color w:val="auto"/>
              </w:rPr>
            </w:pPr>
            <w:r>
              <w:rPr>
                <w:rFonts w:ascii="Arial" w:cs="Arial" w:eastAsia="Arial" w:hAnsi="Arial"/>
                <w:sz w:val="18"/>
                <w:szCs w:val="18"/>
                <w:color w:val="auto"/>
              </w:rPr>
              <w:t>•  ADS Services</w:t>
            </w:r>
          </w:p>
        </w:tc>
        <w:tc>
          <w:tcPr>
            <w:tcW w:w="5280" w:type="dxa"/>
            <w:vAlign w:val="bottom"/>
          </w:tcPr>
          <w:p>
            <w:pPr>
              <w:jc w:val="center"/>
              <w:ind w:left="12"/>
              <w:spacing w:after="0"/>
              <w:rPr>
                <w:sz w:val="20"/>
                <w:szCs w:val="20"/>
                <w:color w:val="auto"/>
              </w:rPr>
            </w:pPr>
            <w:r>
              <w:rPr>
                <w:rFonts w:ascii="Arial" w:cs="Arial" w:eastAsia="Arial" w:hAnsi="Arial"/>
                <w:sz w:val="18"/>
                <w:szCs w:val="18"/>
                <w:color w:val="auto"/>
                <w:w w:val="90"/>
              </w:rPr>
              <w:t>Up to U.S. 5¢ per ADS held on the applicable record date(s) established</w:t>
            </w:r>
          </w:p>
        </w:tc>
      </w:tr>
      <w:tr>
        <w:trPr>
          <w:trHeight w:val="230"/>
        </w:trPr>
        <w:tc>
          <w:tcPr>
            <w:tcW w:w="5680" w:type="dxa"/>
            <w:vAlign w:val="bottom"/>
          </w:tcPr>
          <w:p>
            <w:pPr>
              <w:spacing w:after="0"/>
              <w:rPr>
                <w:sz w:val="20"/>
                <w:szCs w:val="20"/>
                <w:color w:val="auto"/>
              </w:rPr>
            </w:pPr>
          </w:p>
        </w:tc>
        <w:tc>
          <w:tcPr>
            <w:tcW w:w="5280" w:type="dxa"/>
            <w:vAlign w:val="bottom"/>
          </w:tcPr>
          <w:p>
            <w:pPr>
              <w:jc w:val="center"/>
              <w:ind w:left="32"/>
              <w:spacing w:after="0"/>
              <w:rPr>
                <w:sz w:val="20"/>
                <w:szCs w:val="20"/>
                <w:color w:val="auto"/>
              </w:rPr>
            </w:pPr>
            <w:r>
              <w:rPr>
                <w:rFonts w:ascii="Arial" w:cs="Arial" w:eastAsia="Arial" w:hAnsi="Arial"/>
                <w:sz w:val="18"/>
                <w:szCs w:val="18"/>
                <w:color w:val="auto"/>
                <w:w w:val="90"/>
              </w:rPr>
              <w:t>by the depositary</w:t>
            </w:r>
          </w:p>
        </w:tc>
      </w:tr>
      <w:tr>
        <w:trPr>
          <w:trHeight w:val="310"/>
        </w:trPr>
        <w:tc>
          <w:tcPr>
            <w:tcW w:w="5680" w:type="dxa"/>
            <w:vAlign w:val="bottom"/>
          </w:tcPr>
          <w:p>
            <w:pPr>
              <w:ind w:left="80"/>
              <w:spacing w:after="0"/>
              <w:rPr>
                <w:sz w:val="20"/>
                <w:szCs w:val="20"/>
                <w:color w:val="auto"/>
              </w:rPr>
            </w:pPr>
            <w:r>
              <w:rPr>
                <w:rFonts w:ascii="Arial" w:cs="Arial" w:eastAsia="Arial" w:hAnsi="Arial"/>
                <w:sz w:val="18"/>
                <w:szCs w:val="18"/>
                <w:color w:val="auto"/>
                <w:w w:val="95"/>
              </w:rPr>
              <w:t>•  Registration of ADS transfers (e.g., upon a registration of the transfer of</w:t>
            </w:r>
          </w:p>
        </w:tc>
        <w:tc>
          <w:tcPr>
            <w:tcW w:w="5280" w:type="dxa"/>
            <w:vAlign w:val="bottom"/>
          </w:tcPr>
          <w:p>
            <w:pPr>
              <w:jc w:val="center"/>
              <w:ind w:left="12"/>
              <w:spacing w:after="0"/>
              <w:rPr>
                <w:sz w:val="20"/>
                <w:szCs w:val="20"/>
                <w:color w:val="auto"/>
              </w:rPr>
            </w:pPr>
            <w:r>
              <w:rPr>
                <w:rFonts w:ascii="Arial" w:cs="Arial" w:eastAsia="Arial" w:hAnsi="Arial"/>
                <w:sz w:val="18"/>
                <w:szCs w:val="18"/>
                <w:color w:val="auto"/>
                <w:w w:val="92"/>
              </w:rPr>
              <w:t>Up to U.S. 5¢ per ADS (or fraction thereof) transferred</w:t>
            </w: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w w:val="96"/>
              </w:rPr>
              <w:t>registered ownership of ADSs, upon a transfer of ADSs into DTC and</w:t>
            </w:r>
          </w:p>
        </w:tc>
        <w:tc>
          <w:tcPr>
            <w:tcW w:w="5280" w:type="dxa"/>
            <w:vAlign w:val="bottom"/>
          </w:tcPr>
          <w:p>
            <w:pPr>
              <w:spacing w:after="0"/>
              <w:rPr>
                <w:sz w:val="18"/>
                <w:szCs w:val="18"/>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vice versa, or for any other reason)</w:t>
            </w:r>
          </w:p>
        </w:tc>
        <w:tc>
          <w:tcPr>
            <w:tcW w:w="5280" w:type="dxa"/>
            <w:vAlign w:val="bottom"/>
          </w:tcPr>
          <w:p>
            <w:pPr>
              <w:spacing w:after="0"/>
              <w:rPr>
                <w:sz w:val="20"/>
                <w:szCs w:val="20"/>
                <w:color w:val="auto"/>
              </w:rPr>
            </w:pPr>
          </w:p>
        </w:tc>
      </w:tr>
      <w:tr>
        <w:trPr>
          <w:trHeight w:val="310"/>
        </w:trPr>
        <w:tc>
          <w:tcPr>
            <w:tcW w:w="5680" w:type="dxa"/>
            <w:vAlign w:val="bottom"/>
          </w:tcPr>
          <w:p>
            <w:pPr>
              <w:ind w:left="80"/>
              <w:spacing w:after="0"/>
              <w:rPr>
                <w:sz w:val="20"/>
                <w:szCs w:val="20"/>
                <w:color w:val="auto"/>
              </w:rPr>
            </w:pPr>
            <w:r>
              <w:rPr>
                <w:rFonts w:ascii="Arial" w:cs="Arial" w:eastAsia="Arial" w:hAnsi="Arial"/>
                <w:sz w:val="18"/>
                <w:szCs w:val="18"/>
                <w:color w:val="auto"/>
                <w:w w:val="93"/>
              </w:rPr>
              <w:t>•  Conversion of ADSs of one series for ADSs of another series (e.g., upon</w:t>
            </w:r>
          </w:p>
        </w:tc>
        <w:tc>
          <w:tcPr>
            <w:tcW w:w="5280" w:type="dxa"/>
            <w:vAlign w:val="bottom"/>
          </w:tcPr>
          <w:p>
            <w:pPr>
              <w:jc w:val="center"/>
              <w:ind w:left="12"/>
              <w:spacing w:after="0"/>
              <w:rPr>
                <w:sz w:val="20"/>
                <w:szCs w:val="20"/>
                <w:color w:val="auto"/>
              </w:rPr>
            </w:pPr>
            <w:r>
              <w:rPr>
                <w:rFonts w:ascii="Arial" w:cs="Arial" w:eastAsia="Arial" w:hAnsi="Arial"/>
                <w:sz w:val="18"/>
                <w:szCs w:val="18"/>
                <w:color w:val="auto"/>
                <w:w w:val="92"/>
              </w:rPr>
              <w:t>Up to U.S. 5¢ per ADS (or fraction thereof) converted</w:t>
            </w: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w w:val="97"/>
              </w:rPr>
              <w:t>conversion of Partial Entitlement ADSs for Full Entitlement ADSs, or</w:t>
            </w:r>
          </w:p>
        </w:tc>
        <w:tc>
          <w:tcPr>
            <w:tcW w:w="5280" w:type="dxa"/>
            <w:vAlign w:val="bottom"/>
          </w:tcPr>
          <w:p>
            <w:pPr>
              <w:spacing w:after="0"/>
              <w:rPr>
                <w:sz w:val="18"/>
                <w:szCs w:val="18"/>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w w:val="97"/>
              </w:rPr>
              <w:t>upon conversion of Restricted ADSs (each as defined in the Deposit</w:t>
            </w:r>
          </w:p>
        </w:tc>
        <w:tc>
          <w:tcPr>
            <w:tcW w:w="5280" w:type="dxa"/>
            <w:vAlign w:val="bottom"/>
          </w:tcPr>
          <w:p>
            <w:pPr>
              <w:spacing w:after="0"/>
              <w:rPr>
                <w:sz w:val="18"/>
                <w:szCs w:val="18"/>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Agreement) into freely transferable ADSs, and vice versa).</w:t>
            </w:r>
          </w:p>
        </w:tc>
        <w:tc>
          <w:tcPr>
            <w:tcW w:w="5280" w:type="dxa"/>
            <w:vAlign w:val="bottom"/>
          </w:tcPr>
          <w:p>
            <w:pPr>
              <w:spacing w:after="0"/>
              <w:rPr>
                <w:sz w:val="20"/>
                <w:szCs w:val="20"/>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31"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and/or service providers (which may be a division, branch or affiliate of the depositary) in the conversion of foreign currency;</w:t>
      </w:r>
    </w:p>
    <w:p>
      <w:pPr>
        <w:spacing w:after="0" w:line="75" w:lineRule="exact"/>
        <w:rPr>
          <w:rFonts w:ascii="Arial" w:cs="Arial" w:eastAsia="Arial" w:hAnsi="Arial"/>
          <w:sz w:val="18"/>
          <w:szCs w:val="18"/>
          <w:color w:val="auto"/>
        </w:rPr>
      </w:pPr>
    </w:p>
    <w:p>
      <w:pPr>
        <w:ind w:left="1080" w:right="300" w:hanging="424"/>
        <w:spacing w:after="0" w:line="308"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reasonable and customary out-of-pocket expenses incurred by the depositary in connection with compliance with exchange control regulations and other regulatory requirements applicable to Class A ordinary shares, ADSs and ADRs;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9"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3" w:lineRule="exact"/>
        <w:rPr>
          <w:sz w:val="20"/>
          <w:szCs w:val="20"/>
          <w:color w:val="auto"/>
        </w:rPr>
      </w:pPr>
    </w:p>
    <w:p>
      <w:pPr>
        <w:jc w:val="both"/>
        <w:ind w:left="120" w:right="140" w:hanging="4"/>
        <w:spacing w:after="0" w:line="255"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 In 2020, we did not receive any reimbursement from the depository for expenses incurred in connection with the establishment and maintenance of the ADS program.</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880"/>
        <w:spacing w:after="0" w:line="377" w:lineRule="auto"/>
        <w:rPr>
          <w:sz w:val="20"/>
          <w:szCs w:val="20"/>
          <w:color w:val="auto"/>
        </w:rPr>
      </w:pPr>
      <w:r>
        <w:rPr>
          <w:rFonts w:ascii="Arial" w:cs="Arial" w:eastAsia="Arial" w:hAnsi="Arial"/>
          <w:sz w:val="18"/>
          <w:szCs w:val="18"/>
          <w:b w:val="1"/>
          <w:bCs w:val="1"/>
          <w:color w:val="auto"/>
        </w:rPr>
        <w:t>ITEM 14. MATERIAL MODIFICATIONS TO THE RIGHTS OF SECURITY HOLDERS AND USE OF PROCEEDS Material Modifications to the Rights of Security Holders</w:t>
      </w:r>
    </w:p>
    <w:p>
      <w:pPr>
        <w:spacing w:after="0" w:line="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See “Item 10. Additional Information—B. Memorandum and Articles of Association” for a description of the rights of securities holders, which remain unchanged.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The following “Use of Proceeds” information relates to the registration statement on Form F-1, as amended (File No. 333-238596) in relation to our initial public offering, which was declared effective by the SEC on June 11, 2020. In June 2020, we completed our initial public offering in which we issued and sold an aggregate of 13,500,000 ADSs (excluding ADSs offered in the exercise of the over-allotment options), representing 13,500,000 Class A ordinary shares. In the same month, the underwriters for our initial public offering exercised their over-allotment options in full to purchase an addition of 2,025,000 ADSs. The net proceeds we received from the initial public offering and the exercise of over-allotment options totaled approximately US$234.9 million. Morgan Stanley &amp; Co. LLC, BofA Securities, Inc. and Cowen and Company, LLC were the representatives of the underwriters for our initial public offering.</w:t>
      </w:r>
    </w:p>
    <w:p>
      <w:pPr>
        <w:spacing w:after="0" w:line="19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For the period from June 11, 2020, the date that the registration statement on Form F-1 was declared effective by the SEC, to December 31, 2020, the total expenses incurred for our company’s account in connection with our initial public offering was approximately US$2.5 million, which included US$2.3 million in underwriting discounts and commissions for the initial public offering and approximately US$0.2 million in other costs and expenses for our initial public offering. None of the transaction expenses included payments to directors or officers of our company or their associates, persons owning more than 10% or more of our equity securities or our affiliates.</w:t>
      </w:r>
    </w:p>
    <w:p>
      <w:pPr>
        <w:spacing w:after="0" w:line="176"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For the period from June 11, 2020, the date that the registration statement on Form F-1 was declared effective by the SEC, to December 31, 2020, we used (i) US$1.5 million of the net proceeds from our initial public offering to purchase and install certain machinery, and (ii) US$1.5 million of the net proceeds from our initial public offering to supplement our working capital. None of the net proceeds from the initial public offering were paid, directly or indirectly, to any of our directors or officers or their associates, persons owning 10% or more of our equity securities or our affiliates.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still intend to use the remainder of the proceeds from our initial public offering as disclosed in our registration statements on Form F-1.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Based on that evaluation, our management has concluded that, as of December 31, 2020,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or an attestation report by our independent registered public accounting firm due to a transition period established by rules of the SEC for newly public companies.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Since we are an “emerging growth company” as defined under the JOBS Act, we are exempt from the requirement to comply with the auditor attestation requirements that our independent registered public accounting firm attest to and report on the effectiveness of our internal control structure and procedures for financial reporting.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and our independent registered public accounting firm identified two material weaknesses in our internal control over financial reporting in connection with the audit of our consolidated financial statements for the years ended December 31, 2018 and 2019. The material weaknesses identified relate to (i) the lack of sufficient accounting and financial reporting personnel with requisite knowledge and experience in application of U.S. GAAP and SEC rules, and (ii) the lack of financial reporting policies and procedures that are commensurate with U.S. GAAP and SEC reporting requirements.</w:t>
      </w:r>
    </w:p>
    <w:p>
      <w:pPr>
        <w:spacing w:after="0" w:line="15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2020, we implemented measures designed to improve our internal control over financial reporting to remediate these material weaknesses, including the following:</w:t>
      </w:r>
    </w:p>
    <w:p>
      <w:pPr>
        <w:spacing w:after="0" w:line="76" w:lineRule="exact"/>
        <w:rPr>
          <w:sz w:val="20"/>
          <w:szCs w:val="20"/>
          <w:color w:val="auto"/>
        </w:rPr>
      </w:pPr>
    </w:p>
    <w:p>
      <w:pPr>
        <w:ind w:left="540" w:hanging="316"/>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hiring additional financial professionals with appropriate accounting and SEC reporting experience;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increasing the number of qualified financial reporting personnel;</w:t>
      </w:r>
    </w:p>
    <w:p>
      <w:pPr>
        <w:spacing w:after="0" w:line="130" w:lineRule="exact"/>
        <w:rPr>
          <w:rFonts w:ascii="Arial" w:cs="Arial" w:eastAsia="Arial" w:hAnsi="Arial"/>
          <w:sz w:val="18"/>
          <w:szCs w:val="18"/>
          <w:color w:val="auto"/>
        </w:rPr>
      </w:pPr>
    </w:p>
    <w:p>
      <w:pPr>
        <w:ind w:left="540" w:right="220" w:hanging="316"/>
        <w:spacing w:after="0" w:line="277"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improving the capabilities of existing financial reporting personnel through training and education in the accounting and reporting requirements under GAAP and SEC rules and regulations;</w:t>
      </w:r>
    </w:p>
    <w:p>
      <w:pPr>
        <w:spacing w:after="0" w:line="75" w:lineRule="exact"/>
        <w:rPr>
          <w:rFonts w:ascii="Arial" w:cs="Arial" w:eastAsia="Arial" w:hAnsi="Arial"/>
          <w:sz w:val="18"/>
          <w:szCs w:val="18"/>
          <w:color w:val="auto"/>
        </w:rPr>
      </w:pPr>
    </w:p>
    <w:p>
      <w:pPr>
        <w:ind w:left="540" w:right="260" w:hanging="316"/>
        <w:spacing w:after="0" w:line="277"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developing, communicating and implementing an accounting policy manual for our financial reporting personnel for recurring transactions and period-end closing processes; and</w:t>
      </w:r>
    </w:p>
    <w:p>
      <w:pPr>
        <w:spacing w:after="0" w:line="75" w:lineRule="exact"/>
        <w:rPr>
          <w:rFonts w:ascii="Arial" w:cs="Arial" w:eastAsia="Arial" w:hAnsi="Arial"/>
          <w:sz w:val="18"/>
          <w:szCs w:val="18"/>
          <w:color w:val="auto"/>
        </w:rPr>
      </w:pPr>
    </w:p>
    <w:p>
      <w:pPr>
        <w:ind w:left="540" w:right="220" w:hanging="316"/>
        <w:spacing w:after="0" w:line="277"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establishing effective monitoring and oversight controls for non-recurring and complex transactions to ensure the accuracy and completeness of our condensed consolidated financial statements and related disclosures.</w:t>
      </w:r>
    </w:p>
    <w:p>
      <w:pPr>
        <w:spacing w:after="0" w:line="170"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We believe that the measures taken above enhanced our internal control over financial reporting and were sufficient to remediate the identified material weaknesses. There is no guarantee that our remediation efforts will result in the attestation from our independent registered public accounting firm that our internal control over financial reporting is effective, should we no longer qualify as an emerging growth company under the JOBS Act.</w:t>
      </w:r>
    </w:p>
    <w:p>
      <w:pPr>
        <w:spacing w:after="0" w:line="14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Except as described above, there were no other changes in our internal control over financial reporting identified in connection with the evaluation required by Rule 13a-15(d) and 15d-15(d) of the Exchange Act that occurred during the twelve months ended December 31, 2020 that have materially affected, or are reasonably likely to materially affect, our internal control over financial reporting.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board of directors has determined that Ms. Wendy Hayes qualifies as an “audit committee financial expert,” and that Ms. Wendy Hayes and Dr. Min-Jui Richard Shen each satisfies the “independence” requirements of Rule 5605(c)(2) of the Listing Rules of the Nasdaq Stock Market and meets the independence standards under Rule 10A-3 under the Exchange Act, as amended.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Our board of directors adopted a code of business conduct and ethics that applies to our directors, officers and employees in January 2020. We have posted a copy of our code of business conduct and ethics on our website at: https://ir.brbiotech.com/, where you can obtain a copy without charge.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sets forth the aggregate fees by categories specified below in connection with certain professional services rendered by Ernst &amp; Young Hua Ming LLP, our principal external auditors, for the periods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90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96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720" w:type="dxa"/>
            <w:vAlign w:val="bottom"/>
            <w:tcBorders>
              <w:top w:val="single" w:sz="8" w:color="auto"/>
            </w:tcBorders>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RMB</w:t>
            </w:r>
          </w:p>
        </w:tc>
        <w:tc>
          <w:tcPr>
            <w:tcW w:w="42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rPr>
              <w:t>US$</w:t>
            </w:r>
          </w:p>
        </w:tc>
        <w:tc>
          <w:tcPr>
            <w:tcW w:w="60" w:type="dxa"/>
            <w:vAlign w:val="bottom"/>
          </w:tcPr>
          <w:p>
            <w:pPr>
              <w:spacing w:after="0"/>
              <w:rPr>
                <w:sz w:val="10"/>
                <w:szCs w:val="10"/>
                <w:color w:val="auto"/>
              </w:rPr>
            </w:pPr>
          </w:p>
        </w:tc>
      </w:t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6,586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1,192</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Tax fees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6,666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7,860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1,204</w:t>
            </w:r>
          </w:p>
        </w:tc>
        <w:tc>
          <w:tcPr>
            <w:tcW w:w="6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line="255"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Audit fees include the aggregate fees billed in each of the fiscal period listed for professional services rendered by our independent public accountant in relation to the audit of our annual financial statements, review of our quarterly financial statements and services related to our initial public offering in 2020.</w:t>
      </w:r>
    </w:p>
    <w:p>
      <w:pPr>
        <w:spacing w:after="0" w:line="2" w:lineRule="exact"/>
        <w:rPr>
          <w:rFonts w:ascii="Arial" w:cs="Arial" w:eastAsia="Arial" w:hAnsi="Arial"/>
          <w:sz w:val="18"/>
          <w:szCs w:val="18"/>
          <w:color w:val="auto"/>
        </w:rPr>
      </w:pPr>
    </w:p>
    <w:p>
      <w:pPr>
        <w:ind w:left="540" w:right="760" w:hanging="424"/>
        <w:spacing w:after="0" w:line="260"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 fees include the aggregate fees billed in each of the fiscal period listed for professional services rendered by our independent public accountant for tax compliance, tax advice, and tax planning.</w:t>
      </w:r>
    </w:p>
    <w:p>
      <w:pPr>
        <w:spacing w:after="0" w:line="18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 xml:space="preserve">The policy of our audit committee is to pre-approve all audit and non-audit services provided by Ernst &amp; Young Hua Ming LLP, including audit services, audit-related services, tax services and other services as described above, other than those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services which are approved by the audit committee prior to the completion of the audit.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As a Cayman Islands company listed on the NASDAQ Global Market, we are subject to the NASDAQ Global Market corporate governance listing standards. However, NASDAQ Global Market rules permit a foreign private issuer like us to follow the corporate governance practices of its home country. Certain corporate governance practices in the Cayman Islands, which is our home country, may differ significantly from the NASDAQ Global Market corporate governance listing standards. We opt to follow our home country practices and rely on certain exemptions provided by the NASDAQ Global Market corporate governance listing standards to a foreign private issuer, including exemptions from the requirements to have:</w:t>
      </w:r>
    </w:p>
    <w:p>
      <w:pPr>
        <w:spacing w:after="0" w:line="67" w:lineRule="exact"/>
        <w:rPr>
          <w:sz w:val="20"/>
          <w:szCs w:val="20"/>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majority of independent directors on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minimum of three members in our audit committee;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only independent directors being involved in the selection of director nominees and determination of executive officer compensation;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regularly scheduled executive sessions of independent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quorum of annual general meeting which is no less than 33 1/3% of our outstanding shares.</w:t>
      </w:r>
    </w:p>
    <w:p>
      <w:pPr>
        <w:spacing w:after="0" w:line="225"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As a result of our reliance on the corporate governance exemptions available to foreign private issuers, holders of our ADSs will not have the same protection afforded to shareholders of companies that are subject to all of NASDAQ Global Market corporate governance requirements.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16H. MINE SAFETY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consolidated financial statements are included at the end of this annual report.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19. 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 Number</w:t>
            </w:r>
          </w:p>
        </w:tc>
        <w:tc>
          <w:tcPr>
            <w:tcW w:w="1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980" w:type="dxa"/>
            <w:vAlign w:val="bottom"/>
            <w:tcBorders>
              <w:bottom w:val="single" w:sz="8" w:color="auto"/>
            </w:tcBorders>
            <w:gridSpan w:val="19"/>
          </w:tcPr>
          <w:p>
            <w:pPr>
              <w:ind w:left="1740"/>
              <w:spacing w:after="0"/>
              <w:rPr>
                <w:sz w:val="20"/>
                <w:szCs w:val="20"/>
                <w:color w:val="auto"/>
              </w:rPr>
            </w:pPr>
            <w:r>
              <w:rPr>
                <w:rFonts w:ascii="Arial" w:cs="Arial" w:eastAsia="Arial" w:hAnsi="Arial"/>
                <w:sz w:val="14"/>
                <w:szCs w:val="14"/>
                <w:b w:val="1"/>
                <w:bCs w:val="1"/>
                <w:color w:val="auto"/>
              </w:rPr>
              <w:t>Description of Document</w:t>
            </w: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1.1</w:t>
            </w:r>
          </w:p>
        </w:tc>
        <w:tc>
          <w:tcPr>
            <w:tcW w:w="1100" w:type="dxa"/>
            <w:vAlign w:val="bottom"/>
          </w:tcPr>
          <w:p>
            <w:pPr>
              <w:spacing w:after="0"/>
              <w:rPr>
                <w:sz w:val="23"/>
                <w:szCs w:val="23"/>
                <w:color w:val="auto"/>
              </w:rPr>
            </w:pPr>
          </w:p>
        </w:tc>
        <w:tc>
          <w:tcPr>
            <w:tcW w:w="8920" w:type="dxa"/>
            <w:vAlign w:val="bottom"/>
            <w:gridSpan w:val="24"/>
          </w:tcPr>
          <w:p>
            <w:pPr>
              <w:spacing w:after="0"/>
              <w:rPr>
                <w:rFonts w:ascii="Arial" w:cs="Arial" w:eastAsia="Arial" w:hAnsi="Arial"/>
                <w:sz w:val="18"/>
                <w:szCs w:val="18"/>
                <w:color w:val="0000EE"/>
                <w:w w:val="93"/>
              </w:rPr>
            </w:pPr>
            <w:hyperlink r:id="rId180">
              <w:r>
                <w:rPr>
                  <w:rFonts w:ascii="Arial" w:cs="Arial" w:eastAsia="Arial" w:hAnsi="Arial"/>
                  <w:sz w:val="18"/>
                  <w:szCs w:val="18"/>
                  <w:color w:val="0000EE"/>
                  <w:w w:val="93"/>
                </w:rPr>
                <w:t>Form of Tenth Amended and Restated Memorandum and Articles of Association of the Registrant, as currently in effect</w:t>
              </w:r>
            </w:hyperlink>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40" w:type="dxa"/>
            <w:vAlign w:val="bottom"/>
            <w:tcBorders>
              <w:top w:val="single" w:sz="8" w:color="0000EE"/>
            </w:tcBorders>
            <w:gridSpan w:val="14"/>
          </w:tcPr>
          <w:p>
            <w:pPr>
              <w:spacing w:after="0" w:line="196" w:lineRule="exact"/>
              <w:rPr>
                <w:rFonts w:ascii="Arial" w:cs="Arial" w:eastAsia="Arial" w:hAnsi="Arial"/>
                <w:sz w:val="18"/>
                <w:szCs w:val="18"/>
                <w:color w:val="0000EE"/>
                <w:w w:val="94"/>
              </w:rPr>
            </w:pPr>
            <w:hyperlink r:id="rId180">
              <w:r>
                <w:rPr>
                  <w:rFonts w:ascii="Arial" w:cs="Arial" w:eastAsia="Arial" w:hAnsi="Arial"/>
                  <w:sz w:val="18"/>
                  <w:szCs w:val="18"/>
                  <w:color w:val="0000EE"/>
                  <w:w w:val="94"/>
                </w:rPr>
                <w:t>(incorporated herein by reference to Exhibit 3.2 to the registration statement on Form F-1 (File No. 333-238596), as</w:t>
              </w:r>
            </w:hyperlink>
          </w:p>
        </w:tc>
        <w:tc>
          <w:tcPr>
            <w:tcW w:w="280" w:type="dxa"/>
            <w:vAlign w:val="bottom"/>
            <w:gridSpan w:val="10"/>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amended, initially filed with the SEC on May 22, 2020)</w:t>
              </w:r>
            </w:hyperlink>
          </w:p>
        </w:tc>
        <w:tc>
          <w:tcPr>
            <w:tcW w:w="4320" w:type="dxa"/>
            <w:vAlign w:val="bottom"/>
            <w:tcBorders>
              <w:top w:val="single" w:sz="8" w:color="0000EE"/>
            </w:tcBorders>
            <w:gridSpan w:val="3"/>
          </w:tcPr>
          <w:p>
            <w:pPr>
              <w:spacing w:after="0"/>
              <w:rPr>
                <w:sz w:val="17"/>
                <w:szCs w:val="17"/>
                <w:color w:val="auto"/>
              </w:rPr>
            </w:pPr>
          </w:p>
        </w:tc>
        <w:tc>
          <w:tcPr>
            <w:tcW w:w="580" w:type="dxa"/>
            <w:vAlign w:val="bottom"/>
            <w:gridSpan w:val="15"/>
          </w:tcPr>
          <w:p>
            <w:pPr>
              <w:spacing w:after="0"/>
              <w:rPr>
                <w:sz w:val="17"/>
                <w:szCs w:val="17"/>
                <w:color w:val="auto"/>
              </w:rPr>
            </w:pPr>
          </w:p>
        </w:tc>
      </w:tr>
      <w:tr>
        <w:trPr>
          <w:trHeight w:val="344"/>
        </w:trPr>
        <w:tc>
          <w:tcPr>
            <w:tcW w:w="1000" w:type="dxa"/>
            <w:vAlign w:val="bottom"/>
          </w:tcPr>
          <w:p>
            <w:pPr>
              <w:spacing w:after="0"/>
              <w:rPr>
                <w:sz w:val="20"/>
                <w:szCs w:val="20"/>
                <w:color w:val="auto"/>
              </w:rPr>
            </w:pPr>
            <w:r>
              <w:rPr>
                <w:rFonts w:ascii="Arial" w:cs="Arial" w:eastAsia="Arial" w:hAnsi="Arial"/>
                <w:sz w:val="18"/>
                <w:szCs w:val="18"/>
                <w:color w:val="auto"/>
              </w:rPr>
              <w:t>2.1</w:t>
            </w:r>
          </w:p>
        </w:tc>
        <w:tc>
          <w:tcPr>
            <w:tcW w:w="1100" w:type="dxa"/>
            <w:vAlign w:val="bottom"/>
          </w:tcPr>
          <w:p>
            <w:pPr>
              <w:spacing w:after="0"/>
              <w:rPr>
                <w:sz w:val="24"/>
                <w:szCs w:val="24"/>
                <w:color w:val="auto"/>
              </w:rPr>
            </w:pPr>
          </w:p>
        </w:tc>
        <w:tc>
          <w:tcPr>
            <w:tcW w:w="8920" w:type="dxa"/>
            <w:vAlign w:val="bottom"/>
            <w:gridSpan w:val="24"/>
          </w:tcPr>
          <w:p>
            <w:pPr>
              <w:spacing w:after="0"/>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Registrant’s Specimen American Depositary Receipt (included in Exhibit 2.3)</w:t>
              </w:r>
            </w:hyperlink>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2.2</w:t>
            </w:r>
          </w:p>
        </w:tc>
        <w:tc>
          <w:tcPr>
            <w:tcW w:w="1100" w:type="dxa"/>
            <w:vAlign w:val="bottom"/>
          </w:tcPr>
          <w:p>
            <w:pPr>
              <w:spacing w:after="0"/>
              <w:rPr>
                <w:sz w:val="24"/>
                <w:szCs w:val="24"/>
                <w:color w:val="auto"/>
              </w:rPr>
            </w:pPr>
          </w:p>
        </w:tc>
        <w:tc>
          <w:tcPr>
            <w:tcW w:w="8700" w:type="dxa"/>
            <w:vAlign w:val="bottom"/>
            <w:tcBorders>
              <w:bottom w:val="single" w:sz="8" w:color="0000EE"/>
            </w:tcBorders>
            <w:gridSpan w:val="17"/>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Registrant’s Specimen Certificate for Ordinary Shares (incorporated herein by reference to Exhibit 4.2 to the registration</w:t>
              </w:r>
            </w:hyperlink>
          </w:p>
        </w:tc>
        <w:tc>
          <w:tcPr>
            <w:tcW w:w="220" w:type="dxa"/>
            <w:vAlign w:val="bottom"/>
            <w:gridSpan w:val="7"/>
          </w:tcPr>
          <w:p>
            <w:pPr>
              <w:spacing w:after="0"/>
              <w:rPr>
                <w:sz w:val="24"/>
                <w:szCs w:val="24"/>
                <w:color w:val="auto"/>
              </w:rPr>
            </w:pPr>
          </w:p>
        </w:tc>
      </w:tr>
      <w:tr>
        <w:trPr>
          <w:trHeight w:val="237"/>
        </w:trPr>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920" w:type="dxa"/>
            <w:vAlign w:val="bottom"/>
            <w:gridSpan w:val="24"/>
          </w:tcPr>
          <w:p>
            <w:pPr>
              <w:spacing w:after="0"/>
              <w:rPr>
                <w:rFonts w:ascii="Arial" w:cs="Arial" w:eastAsia="Arial" w:hAnsi="Arial"/>
                <w:sz w:val="18"/>
                <w:szCs w:val="18"/>
                <w:u w:val="single" w:color="auto"/>
                <w:color w:val="0000EE"/>
              </w:rPr>
            </w:pPr>
            <w:hyperlink r:id="rId182">
              <w:r>
                <w:rPr>
                  <w:rFonts w:ascii="Arial" w:cs="Arial" w:eastAsia="Arial" w:hAnsi="Arial"/>
                  <w:sz w:val="18"/>
                  <w:szCs w:val="18"/>
                  <w:u w:val="single" w:color="auto"/>
                  <w:color w:val="0000EE"/>
                </w:rPr>
                <w:t>statement on Form F-1 (File No. 333-238596), as amended, initially filed with the SEC on May 22, 2020)</w:t>
              </w:r>
            </w:hyperlink>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2.3</w:t>
            </w:r>
          </w:p>
        </w:tc>
        <w:tc>
          <w:tcPr>
            <w:tcW w:w="1100" w:type="dxa"/>
            <w:vAlign w:val="bottom"/>
          </w:tcPr>
          <w:p>
            <w:pPr>
              <w:spacing w:after="0"/>
              <w:rPr>
                <w:sz w:val="24"/>
                <w:szCs w:val="24"/>
                <w:color w:val="auto"/>
              </w:rPr>
            </w:pPr>
          </w:p>
        </w:tc>
        <w:tc>
          <w:tcPr>
            <w:tcW w:w="8520" w:type="dxa"/>
            <w:vAlign w:val="bottom"/>
            <w:tcBorders>
              <w:bottom w:val="single" w:sz="8" w:color="0000EE"/>
            </w:tcBorders>
            <w:gridSpan w:val="11"/>
          </w:tcPr>
          <w:p>
            <w:pPr>
              <w:spacing w:after="0"/>
              <w:rPr>
                <w:rFonts w:ascii="Arial" w:cs="Arial" w:eastAsia="Arial" w:hAnsi="Arial"/>
                <w:sz w:val="18"/>
                <w:szCs w:val="18"/>
                <w:color w:val="0000EE"/>
                <w:w w:val="90"/>
              </w:rPr>
            </w:pPr>
            <w:hyperlink r:id="rId181">
              <w:r>
                <w:rPr>
                  <w:rFonts w:ascii="Arial" w:cs="Arial" w:eastAsia="Arial" w:hAnsi="Arial"/>
                  <w:sz w:val="18"/>
                  <w:szCs w:val="18"/>
                  <w:color w:val="0000EE"/>
                  <w:w w:val="90"/>
                </w:rPr>
                <w:t>Form of Deposit Agreement, dated June 16, 2020, among the Registrant, the depositary and all holders and beneficial</w:t>
              </w:r>
            </w:hyperlink>
          </w:p>
        </w:tc>
        <w:tc>
          <w:tcPr>
            <w:tcW w:w="400" w:type="dxa"/>
            <w:vAlign w:val="bottom"/>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24"/>
          </w:tcPr>
          <w:p>
            <w:pPr>
              <w:spacing w:after="0" w:line="196" w:lineRule="exact"/>
              <w:rPr>
                <w:rFonts w:ascii="Arial" w:cs="Arial" w:eastAsia="Arial" w:hAnsi="Arial"/>
                <w:sz w:val="18"/>
                <w:szCs w:val="18"/>
                <w:color w:val="0000EE"/>
                <w:w w:val="99"/>
              </w:rPr>
            </w:pPr>
            <w:hyperlink r:id="rId181">
              <w:r>
                <w:rPr>
                  <w:rFonts w:ascii="Arial" w:cs="Arial" w:eastAsia="Arial" w:hAnsi="Arial"/>
                  <w:sz w:val="18"/>
                  <w:szCs w:val="18"/>
                  <w:color w:val="0000EE"/>
                  <w:w w:val="99"/>
                </w:rPr>
                <w:t>owners of American Depositary Shares issued thereunder (incorporated herein by reference to Exhibit 4.3 to the</w:t>
              </w:r>
            </w:hyperlink>
          </w:p>
        </w:tc>
      </w:tr>
      <w:tr>
        <w:trPr>
          <w:trHeight w:val="20"/>
        </w:trPr>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1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920" w:type="dxa"/>
            <w:vAlign w:val="bottom"/>
            <w:gridSpan w:val="24"/>
          </w:tcPr>
          <w:p>
            <w:pPr>
              <w:spacing w:after="0"/>
              <w:rPr>
                <w:rFonts w:ascii="Arial" w:cs="Arial" w:eastAsia="Arial" w:hAnsi="Arial"/>
                <w:sz w:val="18"/>
                <w:szCs w:val="18"/>
                <w:u w:val="single" w:color="auto"/>
                <w:color w:val="0000EE"/>
                <w:w w:val="96"/>
              </w:rPr>
            </w:pPr>
            <w:hyperlink r:id="rId181">
              <w:r>
                <w:rPr>
                  <w:rFonts w:ascii="Arial" w:cs="Arial" w:eastAsia="Arial" w:hAnsi="Arial"/>
                  <w:sz w:val="18"/>
                  <w:szCs w:val="18"/>
                  <w:u w:val="single" w:color="auto"/>
                  <w:color w:val="0000EE"/>
                  <w:w w:val="96"/>
                </w:rPr>
                <w:t>registration statement on Form F-1 (File No. 333-238596), as amended, initially filed with the SEC on May 22, 2020)</w:t>
              </w:r>
            </w:hyperlink>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2.4*</w:t>
            </w:r>
          </w:p>
        </w:tc>
        <w:tc>
          <w:tcPr>
            <w:tcW w:w="1100" w:type="dxa"/>
            <w:vAlign w:val="bottom"/>
          </w:tcPr>
          <w:p>
            <w:pPr>
              <w:spacing w:after="0"/>
              <w:rPr>
                <w:sz w:val="24"/>
                <w:szCs w:val="24"/>
                <w:color w:val="auto"/>
              </w:rPr>
            </w:pPr>
          </w:p>
        </w:tc>
        <w:tc>
          <w:tcPr>
            <w:tcW w:w="8920" w:type="dxa"/>
            <w:vAlign w:val="bottom"/>
            <w:gridSpan w:val="24"/>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Description of Securities</w:t>
              </w:r>
            </w:hyperlink>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1100" w:type="dxa"/>
            <w:vAlign w:val="bottom"/>
          </w:tcPr>
          <w:p>
            <w:pPr>
              <w:spacing w:after="0"/>
              <w:rPr>
                <w:sz w:val="24"/>
                <w:szCs w:val="24"/>
                <w:color w:val="auto"/>
              </w:rPr>
            </w:pPr>
          </w:p>
        </w:tc>
        <w:tc>
          <w:tcPr>
            <w:tcW w:w="8880" w:type="dxa"/>
            <w:vAlign w:val="bottom"/>
            <w:tcBorders>
              <w:bottom w:val="single" w:sz="8" w:color="0000EE"/>
            </w:tcBorders>
            <w:gridSpan w:val="23"/>
          </w:tcPr>
          <w:p>
            <w:pPr>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Form of Indemnification Agreement between the Registrant and its directors and executive officers (incorporated herein by</w:t>
              </w:r>
            </w:hyperlink>
          </w:p>
        </w:tc>
        <w:tc>
          <w:tcPr>
            <w:tcW w:w="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24"/>
          </w:tcPr>
          <w:p>
            <w:pPr>
              <w:spacing w:after="0" w:line="196" w:lineRule="exact"/>
              <w:rPr>
                <w:rFonts w:ascii="Arial" w:cs="Arial" w:eastAsia="Arial" w:hAnsi="Arial"/>
                <w:sz w:val="18"/>
                <w:szCs w:val="18"/>
                <w:color w:val="0000EE"/>
                <w:w w:val="93"/>
              </w:rPr>
            </w:pPr>
            <w:hyperlink r:id="rId183">
              <w:r>
                <w:rPr>
                  <w:rFonts w:ascii="Arial" w:cs="Arial" w:eastAsia="Arial" w:hAnsi="Arial"/>
                  <w:sz w:val="18"/>
                  <w:szCs w:val="18"/>
                  <w:color w:val="0000EE"/>
                  <w:w w:val="93"/>
                </w:rPr>
                <w:t>reference to Exhibit 10.1 to the registration statement on Form F-1 (File No. 333-238596), as amended, initially filed with</w:t>
              </w:r>
            </w:hyperlink>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the SEC on May 22, 2020)</w:t>
              </w:r>
            </w:hyperlink>
          </w:p>
        </w:tc>
        <w:tc>
          <w:tcPr>
            <w:tcW w:w="6840" w:type="dxa"/>
            <w:vAlign w:val="bottom"/>
            <w:tcBorders>
              <w:top w:val="single" w:sz="8" w:color="0000EE"/>
            </w:tcBorders>
            <w:gridSpan w:val="14"/>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1100" w:type="dxa"/>
            <w:vAlign w:val="bottom"/>
          </w:tcPr>
          <w:p>
            <w:pPr>
              <w:spacing w:after="0"/>
              <w:rPr>
                <w:sz w:val="24"/>
                <w:szCs w:val="24"/>
                <w:color w:val="auto"/>
              </w:rPr>
            </w:pPr>
          </w:p>
        </w:tc>
        <w:tc>
          <w:tcPr>
            <w:tcW w:w="8580" w:type="dxa"/>
            <w:vAlign w:val="bottom"/>
            <w:tcBorders>
              <w:bottom w:val="single" w:sz="8" w:color="0000EE"/>
            </w:tcBorders>
            <w:gridSpan w:val="12"/>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Form of Employment Agreement between the Registrant and its executive officers (incorporated herein by reference to</w:t>
              </w:r>
            </w:hyperlink>
          </w:p>
        </w:tc>
        <w:tc>
          <w:tcPr>
            <w:tcW w:w="340" w:type="dxa"/>
            <w:vAlign w:val="bottom"/>
            <w:gridSpan w:val="1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Exhibit 10.2 to the registration statement on Form F-1 (File No. 333-238596), as amended, initially filed with the SEC on</w:t>
              </w:r>
            </w:hyperlink>
          </w:p>
        </w:tc>
        <w:tc>
          <w:tcPr>
            <w:tcW w:w="16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24"/>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May 22, 2020)</w:t>
              </w:r>
            </w:hyperlink>
          </w:p>
        </w:tc>
      </w:tr>
      <w:tr>
        <w:trPr>
          <w:trHeight w:val="20"/>
        </w:trPr>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4.3</w:t>
            </w:r>
          </w:p>
        </w:tc>
        <w:tc>
          <w:tcPr>
            <w:tcW w:w="1100" w:type="dxa"/>
            <w:vAlign w:val="bottom"/>
          </w:tcPr>
          <w:p>
            <w:pPr>
              <w:spacing w:after="0"/>
              <w:rPr>
                <w:sz w:val="24"/>
                <w:szCs w:val="24"/>
                <w:color w:val="auto"/>
              </w:rPr>
            </w:pPr>
          </w:p>
        </w:tc>
        <w:tc>
          <w:tcPr>
            <w:tcW w:w="8500" w:type="dxa"/>
            <w:vAlign w:val="bottom"/>
            <w:tcBorders>
              <w:bottom w:val="single" w:sz="8" w:color="0000EE"/>
            </w:tcBorders>
            <w:gridSpan w:val="10"/>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English translation of Exclusive Business Cooperation Agreement, dated October 21, 2019, between Beijing Burning</w:t>
              </w:r>
            </w:hyperlink>
          </w:p>
        </w:tc>
        <w:tc>
          <w:tcPr>
            <w:tcW w:w="420" w:type="dxa"/>
            <w:vAlign w:val="bottom"/>
            <w:gridSpan w:val="1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Rock Biotech Limited and Burning Rock (Beijing) Biotechnology Co., Ltd. (incorporated herein by reference to Exhibit</w:t>
              </w:r>
            </w:hyperlink>
          </w:p>
        </w:tc>
        <w:tc>
          <w:tcPr>
            <w:tcW w:w="26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3</w:t>
              </w:r>
              <w:r>
                <w:rPr>
                  <w:rFonts w:ascii="Arial" w:cs="Arial" w:eastAsia="Arial" w:hAnsi="Arial"/>
                  <w:sz w:val="18"/>
                  <w:szCs w:val="18"/>
                  <w:color w:val="0000EE"/>
                  <w:w w:val="92"/>
                </w:rPr>
                <w:t xml:space="preserve"> to the registration statement on Form F-1 (File No. 333-238596), as amended, initially filed with the SEC on May 22,</w:t>
              </w:r>
            </w:hyperlink>
          </w:p>
        </w:tc>
        <w:tc>
          <w:tcPr>
            <w:tcW w:w="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r:id="rId185">
              <w:r>
                <w:rPr>
                  <w:rFonts w:ascii="Arial" w:cs="Arial" w:eastAsia="Arial" w:hAnsi="Arial"/>
                  <w:sz w:val="18"/>
                  <w:szCs w:val="18"/>
                  <w:color w:val="0000EE"/>
                  <w:w w:val="86"/>
                </w:rPr>
                <w:t>2020 )</w:t>
              </w:r>
            </w:hyperlink>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4.4</w:t>
            </w:r>
          </w:p>
        </w:tc>
        <w:tc>
          <w:tcPr>
            <w:tcW w:w="1100" w:type="dxa"/>
            <w:vAlign w:val="bottom"/>
          </w:tcPr>
          <w:p>
            <w:pPr>
              <w:spacing w:after="0"/>
              <w:rPr>
                <w:sz w:val="24"/>
                <w:szCs w:val="24"/>
                <w:color w:val="auto"/>
              </w:rPr>
            </w:pPr>
          </w:p>
        </w:tc>
        <w:tc>
          <w:tcPr>
            <w:tcW w:w="8300" w:type="dxa"/>
            <w:vAlign w:val="bottom"/>
            <w:tcBorders>
              <w:bottom w:val="single" w:sz="8" w:color="0000EE"/>
            </w:tcBorders>
            <w:gridSpan w:val="8"/>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English translation of Exclusive Option Agreement, dated October 21, 2019, among Beijing Burning Rock Biotech</w:t>
              </w:r>
            </w:hyperlink>
          </w:p>
        </w:tc>
        <w:tc>
          <w:tcPr>
            <w:tcW w:w="620" w:type="dxa"/>
            <w:vAlign w:val="bottom"/>
            <w:gridSpan w:val="1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24"/>
          </w:tcPr>
          <w:p>
            <w:pPr>
              <w:spacing w:after="0" w:line="196" w:lineRule="exact"/>
              <w:rPr>
                <w:rFonts w:ascii="Arial" w:cs="Arial" w:eastAsia="Arial" w:hAnsi="Arial"/>
                <w:sz w:val="18"/>
                <w:szCs w:val="18"/>
                <w:color w:val="0000EE"/>
                <w:w w:val="93"/>
              </w:rPr>
            </w:pPr>
            <w:hyperlink r:id="rId186">
              <w:r>
                <w:rPr>
                  <w:rFonts w:ascii="Arial" w:cs="Arial" w:eastAsia="Arial" w:hAnsi="Arial"/>
                  <w:sz w:val="18"/>
                  <w:szCs w:val="18"/>
                  <w:color w:val="0000EE"/>
                  <w:w w:val="93"/>
                </w:rPr>
                <w:t>Limited, Burning Rock (Beijing) Biotechnology Co., Ltd. and its shareholders (incorporated herein by reference to Exhibit</w:t>
              </w:r>
            </w:hyperlink>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40" w:type="dxa"/>
            <w:vAlign w:val="bottom"/>
            <w:tcBorders>
              <w:top w:val="single" w:sz="8" w:color="0000EE"/>
            </w:tcBorders>
            <w:gridSpan w:val="21"/>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r>
                <w:rPr>
                  <w:rFonts w:ascii="Arial" w:cs="Arial" w:eastAsia="Arial" w:hAnsi="Arial"/>
                  <w:sz w:val="18"/>
                  <w:szCs w:val="18"/>
                  <w:color w:val="0000EE"/>
                  <w:w w:val="91"/>
                </w:rPr>
                <w:t xml:space="preserve"> to the registration statement on Form F-1 (File No. 333-238596), as amended, initially filed with the SEC on May 22,</w:t>
              </w:r>
            </w:hyperlink>
          </w:p>
        </w:tc>
        <w:tc>
          <w:tcPr>
            <w:tcW w:w="8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2020)</w:t>
              </w:r>
            </w:hyperlink>
          </w:p>
        </w:tc>
        <w:tc>
          <w:tcPr>
            <w:tcW w:w="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40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4.5</w:t>
            </w:r>
          </w:p>
        </w:tc>
        <w:tc>
          <w:tcPr>
            <w:tcW w:w="1100" w:type="dxa"/>
            <w:vAlign w:val="bottom"/>
          </w:tcPr>
          <w:p>
            <w:pPr>
              <w:spacing w:after="0"/>
              <w:rPr>
                <w:sz w:val="24"/>
                <w:szCs w:val="24"/>
                <w:color w:val="auto"/>
              </w:rPr>
            </w:pPr>
          </w:p>
        </w:tc>
        <w:tc>
          <w:tcPr>
            <w:tcW w:w="8920" w:type="dxa"/>
            <w:vAlign w:val="bottom"/>
            <w:gridSpan w:val="24"/>
          </w:tcPr>
          <w:p>
            <w:pPr>
              <w:spacing w:after="0"/>
              <w:rPr>
                <w:rFonts w:ascii="Arial" w:cs="Arial" w:eastAsia="Arial" w:hAnsi="Arial"/>
                <w:sz w:val="18"/>
                <w:szCs w:val="18"/>
                <w:color w:val="0000EE"/>
                <w:w w:val="94"/>
              </w:rPr>
            </w:pPr>
            <w:hyperlink r:id="rId187">
              <w:r>
                <w:rPr>
                  <w:rFonts w:ascii="Arial" w:cs="Arial" w:eastAsia="Arial" w:hAnsi="Arial"/>
                  <w:sz w:val="18"/>
                  <w:szCs w:val="18"/>
                  <w:color w:val="0000EE"/>
                  <w:w w:val="94"/>
                </w:rPr>
                <w:t>English translation of Equity Interest Pledge Agreement, dated October 21, 2019, among Beijing Burning Rock Biotech</w:t>
              </w:r>
            </w:hyperlink>
          </w:p>
        </w:tc>
      </w:tr>
      <w:tr>
        <w:trPr>
          <w:trHeight w:val="20"/>
        </w:trPr>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0" w:type="dxa"/>
            <w:vAlign w:val="bottom"/>
            <w:gridSpan w:val="1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Limited, Burning Rock (Beijing) Biotechnology Co., Ltd. and its shareholders (incorporated herein by reference to Exhibit</w:t>
              </w:r>
            </w:hyperlink>
          </w:p>
        </w:tc>
        <w:tc>
          <w:tcPr>
            <w:tcW w:w="6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5</w:t>
              </w:r>
              <w:r>
                <w:rPr>
                  <w:rFonts w:ascii="Arial" w:cs="Arial" w:eastAsia="Arial" w:hAnsi="Arial"/>
                  <w:sz w:val="18"/>
                  <w:szCs w:val="18"/>
                  <w:color w:val="0000EE"/>
                  <w:w w:val="92"/>
                </w:rPr>
                <w:t xml:space="preserve"> to the registration statement on Form F-1 (File No. 333-238596), as amended, initially filed with the SEC on May 22,</w:t>
              </w:r>
            </w:hyperlink>
          </w:p>
        </w:tc>
        <w:tc>
          <w:tcPr>
            <w:tcW w:w="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2020)</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4.6</w:t>
            </w:r>
          </w:p>
        </w:tc>
        <w:tc>
          <w:tcPr>
            <w:tcW w:w="1100" w:type="dxa"/>
            <w:vAlign w:val="bottom"/>
          </w:tcPr>
          <w:p>
            <w:pPr>
              <w:spacing w:after="0"/>
              <w:rPr>
                <w:sz w:val="24"/>
                <w:szCs w:val="24"/>
                <w:color w:val="auto"/>
              </w:rPr>
            </w:pPr>
          </w:p>
        </w:tc>
        <w:tc>
          <w:tcPr>
            <w:tcW w:w="8920" w:type="dxa"/>
            <w:vAlign w:val="bottom"/>
            <w:gridSpan w:val="24"/>
          </w:tcPr>
          <w:p>
            <w:pPr>
              <w:spacing w:after="0"/>
              <w:rPr>
                <w:rFonts w:ascii="Arial" w:cs="Arial" w:eastAsia="Arial" w:hAnsi="Arial"/>
                <w:sz w:val="18"/>
                <w:szCs w:val="18"/>
                <w:color w:val="0000EE"/>
                <w:w w:val="95"/>
              </w:rPr>
            </w:pPr>
            <w:hyperlink r:id="rId188">
              <w:r>
                <w:rPr>
                  <w:rFonts w:ascii="Arial" w:cs="Arial" w:eastAsia="Arial" w:hAnsi="Arial"/>
                  <w:sz w:val="18"/>
                  <w:szCs w:val="18"/>
                  <w:color w:val="0000EE"/>
                  <w:w w:val="95"/>
                </w:rPr>
                <w:t>English translation of Agreement for Power of Attorney, dated October 21, 2019, among Beijing Burning Rock Biotech</w:t>
              </w:r>
            </w:hyperlink>
          </w:p>
        </w:tc>
      </w:tr>
      <w:tr>
        <w:trPr>
          <w:trHeight w:val="20"/>
        </w:trPr>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0" w:type="dxa"/>
            <w:vAlign w:val="bottom"/>
            <w:gridSpan w:val="12"/>
            <w:shd w:val="clear" w:color="auto" w:fill="0000EE"/>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920" w:type="dxa"/>
            <w:vAlign w:val="bottom"/>
            <w:gridSpan w:val="24"/>
          </w:tcPr>
          <w:p>
            <w:pPr>
              <w:spacing w:after="0" w:line="196" w:lineRule="exact"/>
              <w:rPr>
                <w:rFonts w:ascii="Arial" w:cs="Arial" w:eastAsia="Arial" w:hAnsi="Arial"/>
                <w:sz w:val="18"/>
                <w:szCs w:val="18"/>
                <w:color w:val="0000EE"/>
                <w:w w:val="93"/>
              </w:rPr>
            </w:pPr>
            <w:hyperlink r:id="rId188">
              <w:r>
                <w:rPr>
                  <w:rFonts w:ascii="Arial" w:cs="Arial" w:eastAsia="Arial" w:hAnsi="Arial"/>
                  <w:sz w:val="18"/>
                  <w:szCs w:val="18"/>
                  <w:color w:val="0000EE"/>
                  <w:w w:val="93"/>
                </w:rPr>
                <w:t>Limited, Burning Rock (Beijing) Biotechnology Co., Ltd. and its shareholders (incorporated herein by reference to Exhibit</w:t>
              </w:r>
            </w:hyperlink>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40" w:type="dxa"/>
            <w:vAlign w:val="bottom"/>
            <w:tcBorders>
              <w:top w:val="single" w:sz="8" w:color="0000EE"/>
            </w:tcBorders>
            <w:gridSpan w:val="21"/>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6</w:t>
              </w:r>
              <w:r>
                <w:rPr>
                  <w:rFonts w:ascii="Arial" w:cs="Arial" w:eastAsia="Arial" w:hAnsi="Arial"/>
                  <w:sz w:val="18"/>
                  <w:szCs w:val="18"/>
                  <w:color w:val="0000EE"/>
                  <w:w w:val="91"/>
                </w:rPr>
                <w:t xml:space="preserve"> to the registration statement on Form F-1 (File No. 333-238596), as amended, initially filed with the SEC on May 22,</w:t>
              </w:r>
            </w:hyperlink>
          </w:p>
        </w:tc>
        <w:tc>
          <w:tcPr>
            <w:tcW w:w="8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88">
              <w:r>
                <w:rPr>
                  <w:rFonts w:ascii="Arial" w:cs="Arial" w:eastAsia="Arial" w:hAnsi="Arial"/>
                  <w:sz w:val="18"/>
                  <w:szCs w:val="18"/>
                  <w:color w:val="0000EE"/>
                  <w:w w:val="86"/>
                </w:rPr>
                <w:t>2020)</w:t>
              </w:r>
            </w:hyperlink>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40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1000" w:type="dxa"/>
            <w:vAlign w:val="bottom"/>
          </w:tcPr>
          <w:p>
            <w:pPr>
              <w:spacing w:after="0"/>
              <w:rPr>
                <w:sz w:val="24"/>
                <w:szCs w:val="24"/>
                <w:color w:val="auto"/>
              </w:rPr>
            </w:pPr>
          </w:p>
        </w:tc>
        <w:tc>
          <w:tcPr>
            <w:tcW w:w="5120" w:type="dxa"/>
            <w:vAlign w:val="bottom"/>
            <w:gridSpan w:val="7"/>
          </w:tcPr>
          <w:p>
            <w:pPr>
              <w:jc w:val="right"/>
              <w:ind w:right="408"/>
              <w:spacing w:after="0"/>
              <w:rPr>
                <w:sz w:val="20"/>
                <w:szCs w:val="20"/>
                <w:color w:val="auto"/>
              </w:rPr>
            </w:pPr>
            <w:r>
              <w:rPr>
                <w:rFonts w:ascii="Arial" w:cs="Arial" w:eastAsia="Arial" w:hAnsi="Arial"/>
                <w:sz w:val="18"/>
                <w:szCs w:val="18"/>
                <w:color w:val="auto"/>
              </w:rPr>
              <w:t>125</w:t>
            </w:r>
          </w:p>
        </w:tc>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 Number</w:t>
            </w:r>
          </w:p>
        </w:tc>
        <w:tc>
          <w:tcPr>
            <w:tcW w:w="760" w:type="dxa"/>
            <w:vAlign w:val="bottom"/>
          </w:tcPr>
          <w:p>
            <w:pPr>
              <w:spacing w:after="0"/>
              <w:rPr>
                <w:sz w:val="15"/>
                <w:szCs w:val="15"/>
                <w:color w:val="auto"/>
              </w:rPr>
            </w:pPr>
          </w:p>
        </w:tc>
        <w:tc>
          <w:tcPr>
            <w:tcW w:w="3260" w:type="dxa"/>
            <w:vAlign w:val="bottom"/>
            <w:tcBorders>
              <w:bottom w:val="single" w:sz="8" w:color="auto"/>
            </w:tcBorders>
          </w:tcPr>
          <w:p>
            <w:pPr>
              <w:spacing w:after="0"/>
              <w:rPr>
                <w:sz w:val="15"/>
                <w:szCs w:val="15"/>
                <w:color w:val="auto"/>
              </w:rPr>
            </w:pPr>
          </w:p>
        </w:tc>
        <w:tc>
          <w:tcPr>
            <w:tcW w:w="6000" w:type="dxa"/>
            <w:vAlign w:val="bottom"/>
            <w:tcBorders>
              <w:bottom w:val="single" w:sz="8" w:color="auto"/>
            </w:tcBorders>
            <w:gridSpan w:val="17"/>
          </w:tcPr>
          <w:p>
            <w:pPr>
              <w:ind w:left="600"/>
              <w:spacing w:after="0"/>
              <w:rPr>
                <w:sz w:val="20"/>
                <w:szCs w:val="20"/>
                <w:color w:val="auto"/>
              </w:rPr>
            </w:pPr>
            <w:r>
              <w:rPr>
                <w:rFonts w:ascii="Arial" w:cs="Arial" w:eastAsia="Arial" w:hAnsi="Arial"/>
                <w:sz w:val="14"/>
                <w:szCs w:val="14"/>
                <w:b w:val="1"/>
                <w:bCs w:val="1"/>
                <w:color w:val="auto"/>
              </w:rPr>
              <w:t>Description of Document</w:t>
            </w: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23"/>
                <w:szCs w:val="23"/>
                <w:color w:val="auto"/>
              </w:rPr>
            </w:pPr>
          </w:p>
        </w:tc>
        <w:tc>
          <w:tcPr>
            <w:tcW w:w="8540" w:type="dxa"/>
            <w:vAlign w:val="bottom"/>
            <w:tcBorders>
              <w:bottom w:val="single" w:sz="8" w:color="0000EE"/>
            </w:tcBorders>
            <w:gridSpan w:val="8"/>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English translation of the executed form of Spousal Consent Letter, dated October 21, 2019, granted by the spouses of</w:t>
              </w:r>
            </w:hyperlink>
          </w:p>
        </w:tc>
        <w:tc>
          <w:tcPr>
            <w:tcW w:w="720" w:type="dxa"/>
            <w:vAlign w:val="bottom"/>
            <w:gridSpan w:val="10"/>
          </w:tcPr>
          <w:p>
            <w:pPr>
              <w:spacing w:after="0"/>
              <w:rPr>
                <w:sz w:val="23"/>
                <w:szCs w:val="23"/>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90">
              <w:r>
                <w:rPr>
                  <w:rFonts w:ascii="Arial" w:cs="Arial" w:eastAsia="Arial" w:hAnsi="Arial"/>
                  <w:sz w:val="18"/>
                  <w:szCs w:val="18"/>
                  <w:color w:val="0000EE"/>
                  <w:w w:val="92"/>
                </w:rPr>
                <w:t>individual shareholders of Burning Rock (Beijing) Biotechnology Co., Ltd. (incorporated herein by reference to Exhibit 10.7 to</w:t>
              </w:r>
            </w:hyperlink>
          </w:p>
        </w:tc>
        <w:tc>
          <w:tcPr>
            <w:tcW w:w="80" w:type="dxa"/>
            <w:vAlign w:val="bottom"/>
          </w:tcPr>
          <w:p>
            <w:pPr>
              <w:spacing w:after="0"/>
              <w:rPr>
                <w:sz w:val="17"/>
                <w:szCs w:val="17"/>
                <w:color w:val="auto"/>
              </w:rPr>
            </w:pPr>
          </w:p>
        </w:tc>
      </w:tr>
      <w:tr>
        <w:trPr>
          <w:trHeight w:val="236"/>
        </w:trPr>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60" w:type="dxa"/>
            <w:vAlign w:val="bottom"/>
            <w:gridSpan w:val="18"/>
          </w:tcPr>
          <w:p>
            <w:pPr>
              <w:spacing w:after="0"/>
              <w:rPr>
                <w:rFonts w:ascii="Arial" w:cs="Arial" w:eastAsia="Arial" w:hAnsi="Arial"/>
                <w:sz w:val="18"/>
                <w:szCs w:val="18"/>
                <w:u w:val="single" w:color="auto"/>
                <w:color w:val="0000EE"/>
                <w:w w:val="97"/>
              </w:rPr>
            </w:pPr>
            <w:hyperlink r:id="rId190">
              <w:r>
                <w:rPr>
                  <w:rFonts w:ascii="Arial" w:cs="Arial" w:eastAsia="Arial" w:hAnsi="Arial"/>
                  <w:sz w:val="18"/>
                  <w:szCs w:val="18"/>
                  <w:u w:val="single" w:color="auto"/>
                  <w:color w:val="0000EE"/>
                  <w:w w:val="97"/>
                </w:rPr>
                <w:t>the registration statement on Form F-1 (File No. 333-238596), as amended, initially filed with the SEC on May 22, 2020)</w:t>
              </w:r>
            </w:hyperlink>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4.8</w:t>
            </w:r>
          </w:p>
        </w:tc>
        <w:tc>
          <w:tcPr>
            <w:tcW w:w="760" w:type="dxa"/>
            <w:vAlign w:val="bottom"/>
          </w:tcPr>
          <w:p>
            <w:pPr>
              <w:spacing w:after="0"/>
              <w:rPr>
                <w:sz w:val="24"/>
                <w:szCs w:val="24"/>
                <w:color w:val="auto"/>
              </w:rPr>
            </w:pPr>
          </w:p>
        </w:tc>
        <w:tc>
          <w:tcPr>
            <w:tcW w:w="9260" w:type="dxa"/>
            <w:vAlign w:val="bottom"/>
            <w:gridSpan w:val="18"/>
          </w:tcPr>
          <w:p>
            <w:pPr>
              <w:spacing w:after="0"/>
              <w:rPr>
                <w:rFonts w:ascii="Arial" w:cs="Arial" w:eastAsia="Arial" w:hAnsi="Arial"/>
                <w:sz w:val="18"/>
                <w:szCs w:val="18"/>
                <w:color w:val="0000EE"/>
              </w:rPr>
            </w:pPr>
            <w:hyperlink r:id="rId191">
              <w:r>
                <w:rPr>
                  <w:rFonts w:ascii="Arial" w:cs="Arial" w:eastAsia="Arial" w:hAnsi="Arial"/>
                  <w:sz w:val="18"/>
                  <w:szCs w:val="18"/>
                  <w:color w:val="0000EE"/>
                </w:rPr>
                <w:t>Financial Support Undertaking Letter, dated October 21, 2019, issued by the Registrant to Burning Rock (Beijing)</w:t>
              </w:r>
            </w:hyperlink>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7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Biotechnology Co., Ltd. (incorporated herein by reference to Exhibit 10.8 to the registration statement on Form F-1 (File</w:t>
              </w:r>
            </w:hyperlink>
          </w:p>
        </w:tc>
        <w:tc>
          <w:tcPr>
            <w:tcW w:w="56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gridSpan w:val="18"/>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No. 333-238596), as amended, initially filed with the SEC on May 22, 2020)</w:t>
              </w:r>
            </w:hyperlink>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4.9</w:t>
            </w:r>
          </w:p>
        </w:tc>
        <w:tc>
          <w:tcPr>
            <w:tcW w:w="760" w:type="dxa"/>
            <w:vAlign w:val="bottom"/>
          </w:tcPr>
          <w:p>
            <w:pPr>
              <w:spacing w:after="0"/>
              <w:rPr>
                <w:sz w:val="24"/>
                <w:szCs w:val="24"/>
                <w:color w:val="auto"/>
              </w:rPr>
            </w:pPr>
          </w:p>
        </w:tc>
        <w:tc>
          <w:tcPr>
            <w:tcW w:w="8980" w:type="dxa"/>
            <w:vAlign w:val="bottom"/>
            <w:tcBorders>
              <w:bottom w:val="single" w:sz="8" w:color="0000EE"/>
            </w:tcBorders>
            <w:gridSpan w:val="13"/>
          </w:tcPr>
          <w:p>
            <w:pPr>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Voting proxy agreement, dated October 21, 2019, by and between the Registrant and Beijing Burning Rock Biotech Limited</w:t>
              </w:r>
            </w:hyperlink>
          </w:p>
        </w:tc>
        <w:tc>
          <w:tcPr>
            <w:tcW w:w="28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gridSpan w:val="18"/>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(incorporated herein by reference to Exhibit 10.9 to the registration statement on Form F-1 (File No. 333-238596), as amended,</w:t>
              </w:r>
            </w:hyperlink>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initially filed with the SEC on May 22, 2020)</w:t>
              </w:r>
            </w:hyperlink>
          </w:p>
        </w:tc>
        <w:tc>
          <w:tcPr>
            <w:tcW w:w="100" w:type="dxa"/>
            <w:vAlign w:val="bottom"/>
            <w:gridSpan w:val="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4.10</w:t>
            </w:r>
          </w:p>
        </w:tc>
        <w:tc>
          <w:tcPr>
            <w:tcW w:w="760" w:type="dxa"/>
            <w:vAlign w:val="bottom"/>
          </w:tcPr>
          <w:p>
            <w:pPr>
              <w:spacing w:after="0"/>
              <w:rPr>
                <w:sz w:val="24"/>
                <w:szCs w:val="24"/>
                <w:color w:val="auto"/>
              </w:rPr>
            </w:pPr>
          </w:p>
        </w:tc>
        <w:tc>
          <w:tcPr>
            <w:tcW w:w="9260" w:type="dxa"/>
            <w:vAlign w:val="bottom"/>
            <w:gridSpan w:val="18"/>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Series C Preferred Share Purchase Agreement, dated January 31, 2019, by and among the Registrant and other parties thereto</w:t>
              </w:r>
            </w:hyperlink>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5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(incorporated herein by reference to Exhibit 10.10 to the registration statement on Form F-1 (File No. 333-238596), as</w:t>
              </w:r>
            </w:hyperlink>
          </w:p>
        </w:tc>
        <w:tc>
          <w:tcPr>
            <w:tcW w:w="480" w:type="dxa"/>
            <w:vAlign w:val="bottom"/>
            <w:tcBorders>
              <w:top w:val="single" w:sz="8" w:color="0000EE"/>
            </w:tcBorders>
            <w:gridSpan w:val="7"/>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93">
              <w:r>
                <w:rPr>
                  <w:rFonts w:ascii="Arial" w:cs="Arial" w:eastAsia="Arial" w:hAnsi="Arial"/>
                  <w:sz w:val="18"/>
                  <w:szCs w:val="18"/>
                  <w:color w:val="0000EE"/>
                  <w:w w:val="92"/>
                </w:rPr>
                <w:t>amended, initially filed with the SEC on May 22, 2020)</w:t>
              </w:r>
            </w:hyperlink>
          </w:p>
        </w:tc>
        <w:tc>
          <w:tcPr>
            <w:tcW w:w="5240" w:type="dxa"/>
            <w:vAlign w:val="bottom"/>
            <w:gridSpan w:val="15"/>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4.11</w:t>
            </w:r>
          </w:p>
        </w:tc>
        <w:tc>
          <w:tcPr>
            <w:tcW w:w="760" w:type="dxa"/>
            <w:vAlign w:val="bottom"/>
          </w:tcPr>
          <w:p>
            <w:pPr>
              <w:spacing w:after="0"/>
              <w:rPr>
                <w:sz w:val="24"/>
                <w:szCs w:val="24"/>
                <w:color w:val="auto"/>
              </w:rPr>
            </w:pPr>
          </w:p>
        </w:tc>
        <w:tc>
          <w:tcPr>
            <w:tcW w:w="9260" w:type="dxa"/>
            <w:vAlign w:val="bottom"/>
            <w:gridSpan w:val="18"/>
          </w:tcPr>
          <w:p>
            <w:pPr>
              <w:spacing w:after="0"/>
              <w:rPr>
                <w:rFonts w:ascii="Arial" w:cs="Arial" w:eastAsia="Arial" w:hAnsi="Arial"/>
                <w:sz w:val="18"/>
                <w:szCs w:val="18"/>
                <w:color w:val="0000EE"/>
                <w:w w:val="93"/>
              </w:rPr>
            </w:pPr>
            <w:hyperlink r:id="rId194">
              <w:r>
                <w:rPr>
                  <w:rFonts w:ascii="Arial" w:cs="Arial" w:eastAsia="Arial" w:hAnsi="Arial"/>
                  <w:sz w:val="18"/>
                  <w:szCs w:val="18"/>
                  <w:color w:val="0000EE"/>
                  <w:w w:val="93"/>
                </w:rPr>
                <w:t>Series C+ Preferred Share Purchase Agreement, dated December 30, 2019, by and among the Registrant and other parties</w:t>
              </w:r>
            </w:hyperlink>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thereto (incorporated herein by reference to Exhibit 10.11 to the registration statement on Form F-1 (File No. 333-238596), as</w:t>
              </w:r>
            </w:hyperlink>
          </w:p>
        </w:tc>
        <w:tc>
          <w:tcPr>
            <w:tcW w:w="20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94">
              <w:r>
                <w:rPr>
                  <w:rFonts w:ascii="Arial" w:cs="Arial" w:eastAsia="Arial" w:hAnsi="Arial"/>
                  <w:sz w:val="18"/>
                  <w:szCs w:val="18"/>
                  <w:color w:val="0000EE"/>
                  <w:w w:val="92"/>
                </w:rPr>
                <w:t>amended, initially filed with the SEC on May 22, 2020)</w:t>
              </w:r>
            </w:hyperlink>
          </w:p>
        </w:tc>
        <w:tc>
          <w:tcPr>
            <w:tcW w:w="5240" w:type="dxa"/>
            <w:vAlign w:val="bottom"/>
            <w:gridSpan w:val="15"/>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4.12</w:t>
            </w:r>
          </w:p>
        </w:tc>
        <w:tc>
          <w:tcPr>
            <w:tcW w:w="760" w:type="dxa"/>
            <w:vAlign w:val="bottom"/>
          </w:tcPr>
          <w:p>
            <w:pPr>
              <w:spacing w:after="0"/>
              <w:rPr>
                <w:sz w:val="24"/>
                <w:szCs w:val="24"/>
                <w:color w:val="auto"/>
              </w:rPr>
            </w:pPr>
          </w:p>
        </w:tc>
        <w:tc>
          <w:tcPr>
            <w:tcW w:w="9060" w:type="dxa"/>
            <w:vAlign w:val="bottom"/>
            <w:tcBorders>
              <w:bottom w:val="single" w:sz="8" w:color="0000EE"/>
            </w:tcBorders>
            <w:gridSpan w:val="15"/>
          </w:tcPr>
          <w:p>
            <w:pPr>
              <w:spacing w:after="0"/>
              <w:rPr>
                <w:rFonts w:ascii="Arial" w:cs="Arial" w:eastAsia="Arial" w:hAnsi="Arial"/>
                <w:sz w:val="18"/>
                <w:szCs w:val="18"/>
                <w:color w:val="0000EE"/>
                <w:w w:val="90"/>
              </w:rPr>
            </w:pPr>
            <w:hyperlink r:id="rId195">
              <w:r>
                <w:rPr>
                  <w:rFonts w:ascii="Arial" w:cs="Arial" w:eastAsia="Arial" w:hAnsi="Arial"/>
                  <w:sz w:val="18"/>
                  <w:szCs w:val="18"/>
                  <w:color w:val="0000EE"/>
                  <w:w w:val="90"/>
                </w:rPr>
                <w:t>2020 Share Incentive Plan of the Registrant (incorporated herein by reference to Exhibit 10.16 to the registration statement on</w:t>
              </w:r>
            </w:hyperlink>
          </w:p>
        </w:tc>
        <w:tc>
          <w:tcPr>
            <w:tcW w:w="20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gridSpan w:val="18"/>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Form F-1 (File No. 333-238596), as amended, initially filed with the SEC on May 22, 2020)</w:t>
              </w:r>
            </w:hyperlink>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4.13</w:t>
            </w:r>
          </w:p>
        </w:tc>
        <w:tc>
          <w:tcPr>
            <w:tcW w:w="760" w:type="dxa"/>
            <w:vAlign w:val="bottom"/>
          </w:tcPr>
          <w:p>
            <w:pPr>
              <w:spacing w:after="0"/>
              <w:rPr>
                <w:sz w:val="24"/>
                <w:szCs w:val="24"/>
                <w:color w:val="auto"/>
              </w:rPr>
            </w:pPr>
          </w:p>
        </w:tc>
        <w:tc>
          <w:tcPr>
            <w:tcW w:w="8940" w:type="dxa"/>
            <w:vAlign w:val="bottom"/>
            <w:tcBorders>
              <w:bottom w:val="single" w:sz="8" w:color="0000EE"/>
            </w:tcBorders>
            <w:gridSpan w:val="12"/>
          </w:tcPr>
          <w:p>
            <w:pPr>
              <w:spacing w:after="0"/>
              <w:rPr>
                <w:rFonts w:ascii="Arial" w:cs="Arial" w:eastAsia="Arial" w:hAnsi="Arial"/>
                <w:sz w:val="18"/>
                <w:szCs w:val="18"/>
                <w:color w:val="0000EE"/>
                <w:w w:val="90"/>
              </w:rPr>
            </w:pPr>
            <w:hyperlink r:id="rId196">
              <w:r>
                <w:rPr>
                  <w:rFonts w:ascii="Arial" w:cs="Arial" w:eastAsia="Arial" w:hAnsi="Arial"/>
                  <w:sz w:val="18"/>
                  <w:szCs w:val="18"/>
                  <w:color w:val="0000EE"/>
                  <w:w w:val="90"/>
                </w:rPr>
                <w:t>Subscription Agreement, dated June 5, 2020, between the Registrant and Lake Bleu Prime Healthcare Master Fund Limited</w:t>
              </w:r>
            </w:hyperlink>
          </w:p>
        </w:tc>
        <w:tc>
          <w:tcPr>
            <w:tcW w:w="320" w:type="dxa"/>
            <w:vAlign w:val="bottom"/>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5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(incorporated herein by reference to Exhibit 10.13 to the registration statement on Form F-1 (File No. 333-238596), as</w:t>
              </w:r>
            </w:hyperlink>
          </w:p>
        </w:tc>
        <w:tc>
          <w:tcPr>
            <w:tcW w:w="740" w:type="dxa"/>
            <w:vAlign w:val="bottom"/>
            <w:gridSpan w:val="11"/>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gridSpan w:val="18"/>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amended, initially filed with the SEC on May 22, 2020)</w:t>
              </w:r>
            </w:hyperlink>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8.1*</w:t>
            </w:r>
          </w:p>
        </w:tc>
        <w:tc>
          <w:tcPr>
            <w:tcW w:w="760" w:type="dxa"/>
            <w:vAlign w:val="bottom"/>
          </w:tcPr>
          <w:p>
            <w:pPr>
              <w:spacing w:after="0"/>
              <w:rPr>
                <w:sz w:val="24"/>
                <w:szCs w:val="24"/>
                <w:color w:val="auto"/>
              </w:rPr>
            </w:pPr>
          </w:p>
        </w:tc>
        <w:tc>
          <w:tcPr>
            <w:tcW w:w="4000" w:type="dxa"/>
            <w:vAlign w:val="bottom"/>
            <w:tcBorders>
              <w:top w:val="single" w:sz="8" w:color="0000EE"/>
            </w:tcBorders>
            <w:gridSpan w:val="2"/>
          </w:tcPr>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Significant Subsidiaries and VIE of the Registrant</w:t>
              </w:r>
            </w:hyperlink>
          </w:p>
        </w:tc>
        <w:tc>
          <w:tcPr>
            <w:tcW w:w="5260" w:type="dxa"/>
            <w:vAlign w:val="bottom"/>
            <w:gridSpan w:val="16"/>
          </w:tcPr>
          <w:p>
            <w:pPr>
              <w:spacing w:after="0"/>
              <w:rPr>
                <w:sz w:val="24"/>
                <w:szCs w:val="24"/>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11.1</w:t>
            </w:r>
          </w:p>
        </w:tc>
        <w:tc>
          <w:tcPr>
            <w:tcW w:w="760" w:type="dxa"/>
            <w:vAlign w:val="bottom"/>
          </w:tcPr>
          <w:p>
            <w:pPr>
              <w:spacing w:after="0"/>
              <w:rPr>
                <w:sz w:val="24"/>
                <w:szCs w:val="24"/>
                <w:color w:val="auto"/>
              </w:rPr>
            </w:pPr>
          </w:p>
        </w:tc>
        <w:tc>
          <w:tcPr>
            <w:tcW w:w="8840" w:type="dxa"/>
            <w:vAlign w:val="bottom"/>
            <w:tcBorders>
              <w:bottom w:val="single" w:sz="8" w:color="0000EE"/>
            </w:tcBorders>
            <w:gridSpan w:val="11"/>
          </w:tcPr>
          <w:p>
            <w:pPr>
              <w:spacing w:after="0"/>
              <w:rPr>
                <w:rFonts w:ascii="Arial" w:cs="Arial" w:eastAsia="Arial" w:hAnsi="Arial"/>
                <w:sz w:val="18"/>
                <w:szCs w:val="18"/>
                <w:color w:val="0000EE"/>
                <w:w w:val="90"/>
              </w:rPr>
            </w:pPr>
            <w:hyperlink r:id="rId197">
              <w:r>
                <w:rPr>
                  <w:rFonts w:ascii="Arial" w:cs="Arial" w:eastAsia="Arial" w:hAnsi="Arial"/>
                  <w:sz w:val="18"/>
                  <w:szCs w:val="18"/>
                  <w:color w:val="0000EE"/>
                  <w:w w:val="90"/>
                </w:rPr>
                <w:t>Code of Business Conduct and Ethics of the Registrant (incorporated herein by reference to Exhibit 99.1 to the registration</w:t>
              </w:r>
            </w:hyperlink>
          </w:p>
        </w:tc>
        <w:tc>
          <w:tcPr>
            <w:tcW w:w="420" w:type="dxa"/>
            <w:vAlign w:val="bottom"/>
            <w:gridSpan w:val="7"/>
          </w:tcPr>
          <w:p>
            <w:pPr>
              <w:spacing w:after="0"/>
              <w:rPr>
                <w:sz w:val="24"/>
                <w:szCs w:val="24"/>
                <w:color w:val="auto"/>
              </w:rPr>
            </w:pPr>
          </w:p>
        </w:tc>
      </w:tr>
      <w:tr>
        <w:trPr>
          <w:trHeight w:val="237"/>
        </w:trPr>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60" w:type="dxa"/>
            <w:vAlign w:val="bottom"/>
            <w:gridSpan w:val="18"/>
          </w:tcPr>
          <w:p>
            <w:pPr>
              <w:spacing w:after="0"/>
              <w:rPr>
                <w:rFonts w:ascii="Arial" w:cs="Arial" w:eastAsia="Arial" w:hAnsi="Arial"/>
                <w:sz w:val="18"/>
                <w:szCs w:val="18"/>
                <w:u w:val="single" w:color="auto"/>
                <w:color w:val="0000EE"/>
              </w:rPr>
            </w:pPr>
            <w:hyperlink r:id="rId197">
              <w:r>
                <w:rPr>
                  <w:rFonts w:ascii="Arial" w:cs="Arial" w:eastAsia="Arial" w:hAnsi="Arial"/>
                  <w:sz w:val="18"/>
                  <w:szCs w:val="18"/>
                  <w:u w:val="single" w:color="auto"/>
                  <w:color w:val="0000EE"/>
                </w:rPr>
                <w:t>statement on Form F-1 (File No. 333-238596), as amended, initially filed with the SEC on May 22, 2020)</w:t>
              </w:r>
            </w:hyperlink>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12.1*</w:t>
            </w:r>
          </w:p>
        </w:tc>
        <w:tc>
          <w:tcPr>
            <w:tcW w:w="760" w:type="dxa"/>
            <w:vAlign w:val="bottom"/>
          </w:tcPr>
          <w:p>
            <w:pPr>
              <w:spacing w:after="0"/>
              <w:rPr>
                <w:sz w:val="24"/>
                <w:szCs w:val="24"/>
                <w:color w:val="auto"/>
              </w:rPr>
            </w:pPr>
          </w:p>
        </w:tc>
        <w:tc>
          <w:tcPr>
            <w:tcW w:w="9260" w:type="dxa"/>
            <w:vAlign w:val="bottom"/>
            <w:gridSpan w:val="18"/>
          </w:tcPr>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Certification by Principal Executive Officer Pursuant to Section 302 of the Sarbanes-Oxley Act of 2002</w:t>
              </w:r>
            </w:hyperlink>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12.2*</w:t>
            </w:r>
          </w:p>
        </w:tc>
        <w:tc>
          <w:tcPr>
            <w:tcW w:w="760" w:type="dxa"/>
            <w:vAlign w:val="bottom"/>
          </w:tcPr>
          <w:p>
            <w:pPr>
              <w:spacing w:after="0"/>
              <w:rPr>
                <w:sz w:val="24"/>
                <w:szCs w:val="24"/>
                <w:color w:val="auto"/>
              </w:rPr>
            </w:pPr>
          </w:p>
        </w:tc>
        <w:tc>
          <w:tcPr>
            <w:tcW w:w="9260" w:type="dxa"/>
            <w:vAlign w:val="bottom"/>
            <w:gridSpan w:val="18"/>
          </w:tcPr>
          <w:p>
            <w:pPr>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Certification by Principal Financial Officer Pursuant to Section 302 of the Sarbanes-Oxley Act of 2002</w:t>
              </w:r>
            </w:hyperlink>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13.1**</w:t>
            </w:r>
          </w:p>
        </w:tc>
        <w:tc>
          <w:tcPr>
            <w:tcW w:w="760" w:type="dxa"/>
            <w:vAlign w:val="bottom"/>
          </w:tcPr>
          <w:p>
            <w:pPr>
              <w:spacing w:after="0"/>
              <w:rPr>
                <w:sz w:val="24"/>
                <w:szCs w:val="24"/>
                <w:color w:val="auto"/>
              </w:rPr>
            </w:pPr>
          </w:p>
        </w:tc>
        <w:tc>
          <w:tcPr>
            <w:tcW w:w="9260" w:type="dxa"/>
            <w:vAlign w:val="bottom"/>
            <w:gridSpan w:val="18"/>
          </w:tcPr>
          <w:p>
            <w:pPr>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Certification by Principal Executive Officer Pursuant to Section 906 of the Sarbanes-Oxley Act of 2002</w:t>
              </w:r>
            </w:hyperlink>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13.2**</w:t>
            </w:r>
          </w:p>
        </w:tc>
        <w:tc>
          <w:tcPr>
            <w:tcW w:w="760" w:type="dxa"/>
            <w:vAlign w:val="bottom"/>
          </w:tcPr>
          <w:p>
            <w:pPr>
              <w:spacing w:after="0"/>
              <w:rPr>
                <w:sz w:val="24"/>
                <w:szCs w:val="24"/>
                <w:color w:val="auto"/>
              </w:rPr>
            </w:pPr>
          </w:p>
        </w:tc>
        <w:tc>
          <w:tcPr>
            <w:tcW w:w="9260" w:type="dxa"/>
            <w:vAlign w:val="bottom"/>
            <w:gridSpan w:val="18"/>
          </w:tcPr>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Certification by Principal Financial Officer Pursuant to Section 906 of the Sarbanes-Oxley Act of 2002</w:t>
              </w:r>
            </w:hyperlink>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15.1*</w:t>
            </w:r>
          </w:p>
        </w:tc>
        <w:tc>
          <w:tcPr>
            <w:tcW w:w="760" w:type="dxa"/>
            <w:vAlign w:val="bottom"/>
          </w:tcPr>
          <w:p>
            <w:pPr>
              <w:spacing w:after="0"/>
              <w:rPr>
                <w:sz w:val="24"/>
                <w:szCs w:val="24"/>
                <w:color w:val="auto"/>
              </w:rPr>
            </w:pPr>
          </w:p>
        </w:tc>
        <w:tc>
          <w:tcPr>
            <w:tcW w:w="9260" w:type="dxa"/>
            <w:vAlign w:val="bottom"/>
            <w:gridSpan w:val="18"/>
          </w:tcPr>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Consent of Ernst &amp; Young Hua Ming LLP, an independent registered public accounting firm</w:t>
              </w:r>
            </w:hyperlink>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15.2*</w:t>
            </w:r>
          </w:p>
        </w:tc>
        <w:tc>
          <w:tcPr>
            <w:tcW w:w="760" w:type="dxa"/>
            <w:vAlign w:val="bottom"/>
          </w:tcPr>
          <w:p>
            <w:pPr>
              <w:spacing w:after="0"/>
              <w:rPr>
                <w:sz w:val="24"/>
                <w:szCs w:val="24"/>
                <w:color w:val="auto"/>
              </w:rPr>
            </w:pPr>
          </w:p>
        </w:tc>
        <w:tc>
          <w:tcPr>
            <w:tcW w:w="9260" w:type="dxa"/>
            <w:vAlign w:val="bottom"/>
            <w:gridSpan w:val="18"/>
          </w:tcPr>
          <w:p>
            <w:pPr>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Consent of Shihui Partners</w:t>
              </w:r>
            </w:hyperlink>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7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7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7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7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7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7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Burning Rock Biotech Limited</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Yusheng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Yusheng Han</w:t>
      </w:r>
    </w:p>
    <w:p>
      <w:pPr>
        <w:spacing w:after="0" w:line="23" w:lineRule="exact"/>
        <w:rPr>
          <w:sz w:val="20"/>
          <w:szCs w:val="20"/>
          <w:color w:val="auto"/>
        </w:rPr>
      </w:pPr>
    </w:p>
    <w:p>
      <w:pPr>
        <w:jc w:val="both"/>
        <w:ind w:left="6740"/>
        <w:spacing w:after="0"/>
        <w:tabs>
          <w:tab w:leader="none" w:pos="7300" w:val="left"/>
        </w:tabs>
        <w:rPr>
          <w:sz w:val="20"/>
          <w:szCs w:val="20"/>
          <w:color w:val="auto"/>
        </w:rPr>
      </w:pPr>
      <w:r>
        <w:rPr>
          <w:rFonts w:ascii="Arial" w:cs="Arial" w:eastAsia="Arial" w:hAnsi="Arial"/>
          <w:sz w:val="18"/>
          <w:szCs w:val="18"/>
          <w:color w:val="auto"/>
        </w:rPr>
        <w:t>Title:</w:t>
        <w:tab/>
        <w:t>Chairman of the Board of Directors and Chief</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Executive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March 23, 2021</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620"/>
          </w:cols>
          <w:pgMar w:left="320" w:top="459" w:right="9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right="5120"/>
        <w:spacing w:after="0" w:line="375" w:lineRule="auto"/>
        <w:rPr>
          <w:sz w:val="20"/>
          <w:szCs w:val="20"/>
          <w:color w:val="auto"/>
        </w:rPr>
      </w:pPr>
      <w:r>
        <w:rPr>
          <w:rFonts w:ascii="Arial" w:cs="Arial" w:eastAsia="Arial" w:hAnsi="Arial"/>
          <w:sz w:val="18"/>
          <w:szCs w:val="18"/>
          <w:color w:val="auto"/>
        </w:rPr>
        <w:t xml:space="preserve">To the Shareholders and the Board of Directors of Burning Rock Biotech Limited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have audited the accompanying consolidated balance sheets of Burning Rock Biotech Limited (the “Company”) as of December 31, 2020 and 2019, the related consolidated statements of comprehensive loss, shareholders’ equity/ (deficit)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Hua Ming LLP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Guangzhou, the People’s Republic of China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23, 2021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Notes</w:t>
            </w: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79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9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94,235</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1,895,308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290,469</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Restricted cash</w:t>
            </w:r>
          </w:p>
        </w:tc>
        <w:tc>
          <w:tcPr>
            <w:tcW w:w="5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4,009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29,898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313,988</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362,132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55,499</w:t>
            </w:r>
          </w:p>
        </w:tc>
        <w:tc>
          <w:tcPr>
            <w:tcW w:w="0" w:type="dxa"/>
            <w:vAlign w:val="bottom"/>
          </w:tcPr>
          <w:p>
            <w:pPr>
              <w:spacing w:after="0"/>
              <w:rPr>
                <w:sz w:val="1"/>
                <w:szCs w:val="1"/>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w w:val="91"/>
              </w:rPr>
              <w:t>Accounts receivable (net of allowances of RMB13,112 and RMB24,215 (US$3,711) as of December 31, 2019</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and 2020, respectively)</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88,822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88,218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22,534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74,368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58,116</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68,021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72,340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57,329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8,789</w:t>
            </w:r>
          </w:p>
        </w:tc>
        <w:tc>
          <w:tcPr>
            <w:tcW w:w="0" w:type="dxa"/>
            <w:vAlign w:val="bottom"/>
          </w:tcPr>
          <w:p>
            <w:pPr>
              <w:spacing w:after="0"/>
              <w:rPr>
                <w:sz w:val="1"/>
                <w:szCs w:val="1"/>
                <w:color w:val="auto"/>
              </w:rPr>
            </w:pPr>
          </w:p>
        </w:tc>
      </w:tr>
      <w:tr>
        <w:trPr>
          <w:trHeight w:val="115"/>
        </w:trPr>
        <w:tc>
          <w:tcPr>
            <w:tcW w:w="7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706,787</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2,523,652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386,769</w:t>
            </w:r>
          </w:p>
        </w:tc>
        <w:tc>
          <w:tcPr>
            <w:tcW w:w="0" w:type="dxa"/>
            <w:vAlign w:val="bottom"/>
          </w:tcPr>
          <w:p>
            <w:pPr>
              <w:spacing w:after="0"/>
              <w:rPr>
                <w:sz w:val="1"/>
                <w:szCs w:val="1"/>
                <w:color w:val="auto"/>
              </w:rPr>
            </w:pPr>
          </w:p>
        </w:tc>
      </w:tr>
      <w:tr>
        <w:trPr>
          <w:trHeight w:val="331"/>
        </w:trPr>
        <w:tc>
          <w:tcPr>
            <w:tcW w:w="79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5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1,790</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Long-term investment</w:t>
            </w:r>
          </w:p>
        </w:tc>
        <w:tc>
          <w:tcPr>
            <w:tcW w:w="5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38,369</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89,314</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111,481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17,085</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Intangible assets, net</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3,457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10,954</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23,021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98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58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140,770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139,376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21,360</w:t>
            </w:r>
          </w:p>
        </w:tc>
        <w:tc>
          <w:tcPr>
            <w:tcW w:w="0" w:type="dxa"/>
            <w:vAlign w:val="bottom"/>
          </w:tcPr>
          <w:p>
            <w:pPr>
              <w:spacing w:after="0"/>
              <w:rPr>
                <w:sz w:val="1"/>
                <w:szCs w:val="1"/>
                <w:color w:val="auto"/>
              </w:rPr>
            </w:pPr>
          </w:p>
        </w:tc>
      </w:tr>
      <w:tr>
        <w:trPr>
          <w:trHeight w:val="115"/>
        </w:trPr>
        <w:tc>
          <w:tcPr>
            <w:tcW w:w="7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847,557</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2,663,028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408,129</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Notes</w:t>
            </w: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96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13"/>
              <w:spacing w:after="0"/>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5"/>
                <w:szCs w:val="15"/>
                <w:color w:val="auto"/>
              </w:rPr>
            </w:pPr>
          </w:p>
        </w:tc>
        <w:tc>
          <w:tcPr>
            <w:tcW w:w="960" w:type="dxa"/>
            <w:vAlign w:val="bottom"/>
            <w:gridSpan w:val="3"/>
          </w:tcPr>
          <w:p>
            <w:pPr>
              <w:ind w:left="180"/>
              <w:spacing w:after="0"/>
              <w:rPr>
                <w:sz w:val="20"/>
                <w:szCs w:val="20"/>
                <w:color w:val="auto"/>
              </w:rPr>
            </w:pPr>
            <w:r>
              <w:rPr>
                <w:rFonts w:ascii="Arial" w:cs="Arial" w:eastAsia="Arial" w:hAnsi="Arial"/>
                <w:sz w:val="14"/>
                <w:szCs w:val="14"/>
                <w:b w:val="1"/>
                <w:bCs w:val="1"/>
                <w:color w:val="auto"/>
              </w:rPr>
              <w:t>RMB</w:t>
            </w:r>
          </w:p>
        </w:tc>
        <w:tc>
          <w:tcPr>
            <w:tcW w:w="540" w:type="dxa"/>
            <w:vAlign w:val="bottom"/>
          </w:tcPr>
          <w:p>
            <w:pPr>
              <w:jc w:val="right"/>
              <w:ind w:right="91"/>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90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3"/>
              </w:rPr>
              <w:t xml:space="preserve">Current liabilities </w:t>
            </w:r>
            <w:r>
              <w:rPr>
                <w:rFonts w:ascii="Arial" w:cs="Arial" w:eastAsia="Arial" w:hAnsi="Arial"/>
                <w:sz w:val="18"/>
                <w:szCs w:val="18"/>
                <w:color w:val="auto"/>
                <w:w w:val="93"/>
              </w:rPr>
              <w:t>(including amounts of the consolidated VIE and its subsidiaries without recourse to the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primary beneficiary of RMB140,383 and RMB169,116 (US$25,919) as of December 31, 2019 and 2020,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Accounts payable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12,348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35,482</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49,539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74,402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11,403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Capital lease obligations, current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4,893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and other current liabilities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54,059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12,820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Customer deposits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4,104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Current portion of long-term borrowings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37,129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34,695</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115"/>
        </w:trPr>
        <w:tc>
          <w:tcPr>
            <w:tcW w:w="7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164,442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241,533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37,018</w:t>
            </w:r>
          </w:p>
        </w:tc>
        <w:tc>
          <w:tcPr>
            <w:tcW w:w="0" w:type="dxa"/>
            <w:vAlign w:val="bottom"/>
          </w:tcPr>
          <w:p>
            <w:pPr>
              <w:spacing w:after="0"/>
              <w:rPr>
                <w:sz w:val="1"/>
                <w:szCs w:val="1"/>
                <w:color w:val="auto"/>
              </w:rPr>
            </w:pPr>
          </w:p>
        </w:tc>
      </w:tr>
      <w:tr>
        <w:trPr>
          <w:trHeight w:val="317"/>
        </w:trPr>
        <w:tc>
          <w:tcPr>
            <w:tcW w:w="7900" w:type="dxa"/>
            <w:vAlign w:val="bottom"/>
          </w:tcPr>
          <w:p>
            <w:pPr>
              <w:spacing w:after="0"/>
              <w:rPr>
                <w:sz w:val="20"/>
                <w:szCs w:val="20"/>
                <w:color w:val="auto"/>
              </w:rPr>
            </w:pPr>
            <w:r>
              <w:rPr>
                <w:rFonts w:ascii="Arial" w:cs="Arial" w:eastAsia="Arial" w:hAnsi="Arial"/>
                <w:sz w:val="18"/>
                <w:szCs w:val="18"/>
                <w:b w:val="1"/>
                <w:bCs w:val="1"/>
                <w:color w:val="auto"/>
                <w:w w:val="93"/>
              </w:rPr>
              <w:t xml:space="preserve">Non-current liabilities </w:t>
            </w:r>
            <w:r>
              <w:rPr>
                <w:rFonts w:ascii="Arial" w:cs="Arial" w:eastAsia="Arial" w:hAnsi="Arial"/>
                <w:sz w:val="18"/>
                <w:szCs w:val="18"/>
                <w:color w:val="auto"/>
                <w:w w:val="93"/>
              </w:rPr>
              <w:t>(including amounts of the consolidated VIE and its subsidiaries without recourse to</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the primary beneficiary of RMB6,073 and RMB263 (US$40) as of December 31, 2019 and 2020,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Deferred government grants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4,816</w:t>
            </w:r>
          </w:p>
        </w:tc>
        <w:tc>
          <w:tcPr>
            <w:tcW w:w="9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18,266</w:t>
            </w:r>
          </w:p>
        </w:tc>
        <w:tc>
          <w:tcPr>
            <w:tcW w:w="9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Warrant liability</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23,503</w:t>
            </w:r>
          </w:p>
        </w:tc>
        <w:tc>
          <w:tcPr>
            <w:tcW w:w="9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47,576</w:t>
            </w: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491</w:t>
            </w:r>
          </w:p>
        </w:tc>
        <w:tc>
          <w:tcPr>
            <w:tcW w:w="1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115"/>
        </w:trPr>
        <w:tc>
          <w:tcPr>
            <w:tcW w:w="7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212,018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242,024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37,093</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9"/>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90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60" w:type="dxa"/>
            <w:vAlign w:val="bottom"/>
            <w:gridSpan w:val="3"/>
          </w:tcPr>
          <w:p>
            <w:pPr>
              <w:ind w:left="236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tcPr>
          <w:p>
            <w:pPr>
              <w:ind w:left="5380"/>
              <w:spacing w:after="0"/>
              <w:rPr>
                <w:sz w:val="20"/>
                <w:szCs w:val="20"/>
                <w:color w:val="auto"/>
              </w:rPr>
            </w:pPr>
            <w:r>
              <w:rPr>
                <w:rFonts w:ascii="Arial" w:cs="Arial" w:eastAsia="Arial" w:hAnsi="Arial"/>
                <w:sz w:val="18"/>
                <w:szCs w:val="18"/>
                <w:color w:val="auto"/>
              </w:rPr>
              <w:t>F-3</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6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Notes</w:t>
            </w: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7"/>
              </w:rPr>
              <w:t>As of 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600" w:type="dxa"/>
            <w:vAlign w:val="bottom"/>
          </w:tcPr>
          <w:p>
            <w:pPr>
              <w:spacing w:after="0"/>
              <w:rPr>
                <w:sz w:val="15"/>
                <w:szCs w:val="15"/>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RMB</w:t>
            </w:r>
          </w:p>
        </w:tc>
        <w:tc>
          <w:tcPr>
            <w:tcW w:w="200" w:type="dxa"/>
            <w:vAlign w:val="bottom"/>
            <w:gridSpan w:val="2"/>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RMB</w:t>
            </w:r>
          </w:p>
        </w:tc>
        <w:tc>
          <w:tcPr>
            <w:tcW w:w="700" w:type="dxa"/>
            <w:vAlign w:val="bottom"/>
          </w:tcPr>
          <w:p>
            <w:pPr>
              <w:jc w:val="right"/>
              <w:ind w:right="131"/>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5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EQUITY (CONTINUED)</w:t>
            </w: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4"/>
              </w:rPr>
              <w:t>Series A convertible preferred shares (par value of US$0.0002 per share; 33,304,544 and nil shares</w:t>
            </w: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w w:val="93"/>
              </w:rPr>
              <w:t>authorized; 33,300,105 and nil shares issued and outstanding as of December 31, 2019 and 2020)</w:t>
            </w:r>
          </w:p>
        </w:tc>
        <w:tc>
          <w:tcPr>
            <w:tcW w:w="600" w:type="dxa"/>
            <w:vAlign w:val="bottom"/>
          </w:tcPr>
          <w:p>
            <w:pPr>
              <w:jc w:val="right"/>
              <w:ind w:right="115"/>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186,991</w:t>
            </w:r>
          </w:p>
        </w:tc>
        <w:tc>
          <w:tcPr>
            <w:tcW w:w="1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B convertible preferred shares (par value of US$0.0002 per share; 12,768,717 and nil shares</w:t>
            </w: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authorized, issued and outstanding as of December 31, 2019 and 2020)</w:t>
            </w:r>
          </w:p>
        </w:tc>
        <w:tc>
          <w:tcPr>
            <w:tcW w:w="6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466,983</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4"/>
              </w:rPr>
              <w:t>Series C convertible preferred shares (par value of US$0.0002 per share; 15,719,229 and nil shares</w:t>
            </w: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w w:val="93"/>
              </w:rPr>
              <w:t>authorized; 12,524,807 and nil shares issued and outstanding as of December 31, 2019 and 2020)</w:t>
            </w:r>
          </w:p>
        </w:tc>
        <w:tc>
          <w:tcPr>
            <w:tcW w:w="600" w:type="dxa"/>
            <w:vAlign w:val="bottom"/>
          </w:tcPr>
          <w:p>
            <w:pPr>
              <w:jc w:val="right"/>
              <w:ind w:right="115"/>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873,059</w:t>
            </w:r>
          </w:p>
        </w:tc>
        <w:tc>
          <w:tcPr>
            <w:tcW w:w="1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7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1,527,033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1"/>
        </w:trPr>
        <w:tc>
          <w:tcPr>
            <w:tcW w:w="7540" w:type="dxa"/>
            <w:vAlign w:val="bottom"/>
          </w:tcPr>
          <w:p>
            <w:pPr>
              <w:spacing w:after="0"/>
              <w:rPr>
                <w:sz w:val="20"/>
                <w:szCs w:val="20"/>
                <w:color w:val="auto"/>
              </w:rPr>
            </w:pPr>
            <w:r>
              <w:rPr>
                <w:rFonts w:ascii="Arial" w:cs="Arial" w:eastAsia="Arial" w:hAnsi="Arial"/>
                <w:sz w:val="18"/>
                <w:szCs w:val="18"/>
                <w:b w:val="1"/>
                <w:bCs w:val="1"/>
                <w:color w:val="auto"/>
              </w:rPr>
              <w:t>Shareholders’ (deficit) equity:</w:t>
            </w:r>
          </w:p>
        </w:tc>
        <w:tc>
          <w:tcPr>
            <w:tcW w:w="6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Ordinary shares (par value of US$0.0002 per share; 188,207,510 and nil shares authorized; 25,031,575</w:t>
            </w: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nil shares issued and outstanding as of December 31, 2019 and 2020)</w:t>
            </w:r>
          </w:p>
        </w:tc>
        <w:tc>
          <w:tcPr>
            <w:tcW w:w="6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2"/>
              </w:rPr>
              <w:t>Class A ordinary shares (par value of US$0.0002 per share; nil and 230,000,000 shares authorized; nil</w:t>
            </w: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and 87,457,081 shares issued and outstanding as of December 31, 2019 and 2020)</w:t>
            </w:r>
          </w:p>
        </w:tc>
        <w:tc>
          <w:tcPr>
            <w:tcW w:w="600" w:type="dxa"/>
            <w:vAlign w:val="bottom"/>
          </w:tcPr>
          <w:p>
            <w:pPr>
              <w:spacing w:after="0"/>
              <w:rPr>
                <w:sz w:val="20"/>
                <w:szCs w:val="20"/>
                <w:color w:val="auto"/>
              </w:rPr>
            </w:pPr>
          </w:p>
        </w:tc>
        <w:tc>
          <w:tcPr>
            <w:tcW w:w="100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B ordinary shares (par value of US$0.0002 per share; nil and 20,000,000 shares authorized; nil</w:t>
            </w: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17,324,848 shares issued and outstanding as of December 31, 2019 and 2020)</w:t>
            </w:r>
          </w:p>
        </w:tc>
        <w:tc>
          <w:tcPr>
            <w:tcW w:w="6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600" w:type="dxa"/>
            <w:vAlign w:val="bottom"/>
          </w:tcPr>
          <w:p>
            <w:pPr>
              <w:spacing w:after="0"/>
              <w:rPr>
                <w:sz w:val="24"/>
                <w:szCs w:val="24"/>
                <w:color w:val="auto"/>
              </w:rPr>
            </w:pPr>
          </w:p>
        </w:tc>
        <w:tc>
          <w:tcPr>
            <w:tcW w:w="1000" w:type="dxa"/>
            <w:vAlign w:val="bottom"/>
            <w:gridSpan w:val="3"/>
          </w:tcPr>
          <w:p>
            <w:pPr>
              <w:jc w:val="right"/>
              <w:ind w:right="128"/>
              <w:spacing w:after="0"/>
              <w:rPr>
                <w:sz w:val="20"/>
                <w:szCs w:val="20"/>
                <w:color w:val="auto"/>
              </w:rPr>
            </w:pPr>
            <w:r>
              <w:rPr>
                <w:rFonts w:ascii="Arial" w:cs="Arial" w:eastAsia="Arial" w:hAnsi="Arial"/>
                <w:sz w:val="18"/>
                <w:szCs w:val="18"/>
                <w:color w:val="auto"/>
              </w:rPr>
              <w:t>45,640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4,006,616</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614,041</w:t>
            </w:r>
          </w:p>
        </w:tc>
        <w:tc>
          <w:tcPr>
            <w:tcW w:w="0" w:type="dxa"/>
            <w:vAlign w:val="bottom"/>
          </w:tcPr>
          <w:p>
            <w:pPr>
              <w:spacing w:after="0"/>
              <w:rPr>
                <w:sz w:val="1"/>
                <w:szCs w:val="1"/>
                <w:color w:val="auto"/>
              </w:rPr>
            </w:pPr>
          </w:p>
        </w:tc>
      </w:tr>
      <w:tr>
        <w:trPr>
          <w:trHeight w:val="108"/>
        </w:trPr>
        <w:tc>
          <w:tcPr>
            <w:tcW w:w="7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deficits</w:t>
            </w:r>
          </w:p>
        </w:tc>
        <w:tc>
          <w:tcPr>
            <w:tcW w:w="6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(946,464)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(1,418,160)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(217,343)</w:t>
            </w:r>
          </w:p>
        </w:tc>
        <w:tc>
          <w:tcPr>
            <w:tcW w:w="0" w:type="dxa"/>
            <w:vAlign w:val="bottom"/>
          </w:tcPr>
          <w:p>
            <w:pPr>
              <w:spacing w:after="0"/>
              <w:rPr>
                <w:sz w:val="1"/>
                <w:szCs w:val="1"/>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6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9,299</w:t>
            </w:r>
          </w:p>
        </w:tc>
        <w:tc>
          <w:tcPr>
            <w:tcW w:w="1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(167,589)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(25,683)</w:t>
            </w:r>
          </w:p>
        </w:tc>
        <w:tc>
          <w:tcPr>
            <w:tcW w:w="0" w:type="dxa"/>
            <w:vAlign w:val="bottom"/>
          </w:tcPr>
          <w:p>
            <w:pPr>
              <w:spacing w:after="0"/>
              <w:rPr>
                <w:sz w:val="1"/>
                <w:szCs w:val="1"/>
                <w:color w:val="auto"/>
              </w:rPr>
            </w:pPr>
          </w:p>
        </w:tc>
      </w:tr>
      <w:tr>
        <w:trPr>
          <w:trHeight w:val="115"/>
        </w:trPr>
        <w:tc>
          <w:tcPr>
            <w:tcW w:w="7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 equity</w:t>
            </w:r>
          </w:p>
        </w:tc>
        <w:tc>
          <w:tcPr>
            <w:tcW w:w="6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(891,494)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2,421,004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371,036</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540" w:type="dxa"/>
            <w:vAlign w:val="bottom"/>
          </w:tcPr>
          <w:p>
            <w:pPr>
              <w:spacing w:after="0"/>
              <w:rPr>
                <w:sz w:val="20"/>
                <w:szCs w:val="20"/>
                <w:color w:val="auto"/>
              </w:rPr>
            </w:pPr>
            <w:r>
              <w:rPr>
                <w:rFonts w:ascii="Arial" w:cs="Arial" w:eastAsia="Arial" w:hAnsi="Arial"/>
                <w:sz w:val="18"/>
                <w:szCs w:val="18"/>
                <w:b w:val="1"/>
                <w:bCs w:val="1"/>
                <w:color w:val="auto"/>
              </w:rPr>
              <w:t>TOTAL LIABILITIES, MEZZANINE EQUITY AND SHAREHOLDERS’ (DEFICIT) EQUITY</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847,557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2,663,028</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408,129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Notes</w:t>
            </w: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96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RMB</w:t>
            </w: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69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Revenues from services</w:t>
            </w:r>
          </w:p>
        </w:tc>
        <w:tc>
          <w:tcPr>
            <w:tcW w:w="56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180,187</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292,523</w:t>
            </w: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311,184</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47,691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sales of products</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28,680</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89,154</w:t>
            </w:r>
          </w:p>
        </w:tc>
        <w:tc>
          <w:tcPr>
            <w:tcW w:w="960" w:type="dxa"/>
            <w:vAlign w:val="bottom"/>
            <w:tcBorders>
              <w:right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118,719</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18,194</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208,867</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381,677</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429,903</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Cost of services</w:t>
            </w:r>
          </w:p>
        </w:tc>
        <w:tc>
          <w:tcPr>
            <w:tcW w:w="56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(60,688)</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(78,837)</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(80,132)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(12,281)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(13,120)</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(29,506)</w:t>
            </w:r>
          </w:p>
        </w:tc>
        <w:tc>
          <w:tcPr>
            <w:tcW w:w="96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(35,849)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5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(73,808)</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(108,343</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(115,981</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(17,775)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135,059</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273,334</w:t>
            </w:r>
          </w:p>
        </w:tc>
        <w:tc>
          <w:tcPr>
            <w:tcW w:w="960" w:type="dxa"/>
            <w:vAlign w:val="bottom"/>
            <w:tcBorders>
              <w:right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313,922</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48,110</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(105,299)</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(156,935)</w:t>
            </w:r>
          </w:p>
        </w:tc>
        <w:tc>
          <w:tcPr>
            <w:tcW w:w="96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5"/>
              </w:rPr>
              <w:t>(263,940)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(40,451)</w:t>
            </w:r>
          </w:p>
        </w:tc>
        <w:tc>
          <w:tcPr>
            <w:tcW w:w="0" w:type="dxa"/>
            <w:vAlign w:val="bottom"/>
          </w:tcPr>
          <w:p>
            <w:pPr>
              <w:spacing w:after="0"/>
              <w:rPr>
                <w:sz w:val="1"/>
                <w:szCs w:val="1"/>
                <w:color w:val="auto"/>
              </w:rPr>
            </w:pP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w w:val="92"/>
              </w:rPr>
              <w:t>Selling and marketing expenses (including related party amounts of RMB1,225, RMB806 and</w:t>
            </w: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80"/>
              <w:spacing w:after="0"/>
              <w:rPr>
                <w:sz w:val="20"/>
                <w:szCs w:val="20"/>
                <w:color w:val="auto"/>
              </w:rPr>
            </w:pPr>
            <w:r>
              <w:rPr>
                <w:rFonts w:ascii="Arial" w:cs="Arial" w:eastAsia="Arial" w:hAnsi="Arial"/>
                <w:sz w:val="18"/>
                <w:szCs w:val="18"/>
                <w:color w:val="auto"/>
                <w:w w:val="94"/>
              </w:rPr>
              <w:t>RMB543 (US$83) for the years ended December 31, 2018, 2019 and 2020, respectively)</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(102,857)</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(153,334)</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w w:val="95"/>
              </w:rPr>
              <w:t>(168,587)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(25,837)</w:t>
            </w:r>
          </w:p>
        </w:tc>
        <w:tc>
          <w:tcPr>
            <w:tcW w:w="0" w:type="dxa"/>
            <w:vAlign w:val="bottom"/>
          </w:tcPr>
          <w:p>
            <w:pPr>
              <w:spacing w:after="0"/>
              <w:rPr>
                <w:sz w:val="1"/>
                <w:szCs w:val="1"/>
                <w:color w:val="auto"/>
              </w:rPr>
            </w:pP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General and administrative expenses (including related party amounts of nil, nil and RMB227</w:t>
            </w: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(US$35) for the years ended December 31, 2018, 2019 and 2020, respectively)</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(88,299)</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(132,157)</w:t>
            </w:r>
          </w:p>
        </w:tc>
        <w:tc>
          <w:tcPr>
            <w:tcW w:w="96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5"/>
              </w:rPr>
              <w:t>(293,800)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(45,027)</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5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(296,455</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(442,426</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(726,327</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(111,315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95"/>
              </w:rPr>
              <w:t>(161,396)</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95"/>
              </w:rPr>
              <w:t>(169,092)</w:t>
            </w:r>
          </w:p>
        </w:tc>
        <w:tc>
          <w:tcPr>
            <w:tcW w:w="96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w w:val="95"/>
              </w:rPr>
              <w:t>(412,405)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(63,205)</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11,161</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6,068</w:t>
            </w:r>
          </w:p>
        </w:tc>
        <w:tc>
          <w:tcPr>
            <w:tcW w:w="2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(17,951)</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(8,989)</w:t>
            </w:r>
          </w:p>
        </w:tc>
        <w:tc>
          <w:tcPr>
            <w:tcW w:w="96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expense, net</w:t>
            </w:r>
          </w:p>
        </w:tc>
        <w:tc>
          <w:tcPr>
            <w:tcW w:w="56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(488)</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(883)</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(887)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 net</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999</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1,486</w:t>
            </w:r>
          </w:p>
        </w:tc>
        <w:tc>
          <w:tcPr>
            <w:tcW w:w="96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(2,847)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(2,839)</w:t>
            </w: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3,503</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95"/>
              </w:rPr>
              <w:t>(177,497)</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95"/>
              </w:rPr>
              <w:t>(169,156)</w:t>
            </w:r>
          </w:p>
        </w:tc>
        <w:tc>
          <w:tcPr>
            <w:tcW w:w="96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w w:val="95"/>
              </w:rPr>
              <w:t>(407,235)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(62,412)</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Income tax expenses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95"/>
              </w:rPr>
              <w:t>(177,497)</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95"/>
              </w:rPr>
              <w:t>(169,156)</w:t>
            </w:r>
          </w:p>
        </w:tc>
        <w:tc>
          <w:tcPr>
            <w:tcW w:w="96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w w:val="95"/>
              </w:rPr>
              <w:t>(407,235)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(62,412)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820" w:type="dxa"/>
            <w:vAlign w:val="bottom"/>
            <w:vMerge w:val="restart"/>
          </w:tcPr>
          <w:p>
            <w:pPr>
              <w:jc w:val="center"/>
              <w:ind w:left="156"/>
              <w:spacing w:after="0"/>
              <w:rPr>
                <w:sz w:val="20"/>
                <w:szCs w:val="20"/>
                <w:color w:val="auto"/>
              </w:rPr>
            </w:pPr>
            <w:r>
              <w:rPr>
                <w:rFonts w:ascii="Arial" w:cs="Arial" w:eastAsia="Arial" w:hAnsi="Arial"/>
                <w:sz w:val="14"/>
                <w:szCs w:val="14"/>
                <w:b w:val="1"/>
                <w:bCs w:val="1"/>
                <w:color w:val="auto"/>
                <w:w w:val="87"/>
              </w:rPr>
              <w:t>Notes</w:t>
            </w: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2"/>
              </w:rPr>
              <w:t>For the years ended 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6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980" w:type="dxa"/>
            <w:vAlign w:val="bottom"/>
            <w:gridSpan w:val="2"/>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112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RMB</w:t>
            </w:r>
          </w:p>
        </w:tc>
        <w:tc>
          <w:tcPr>
            <w:tcW w:w="82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59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Burning Rock Biotech Limited’s shareholders</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(177,497)</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(169,156)</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(407,235)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(62,412)</w:t>
            </w:r>
          </w:p>
        </w:tc>
        <w:tc>
          <w:tcPr>
            <w:tcW w:w="0" w:type="dxa"/>
            <w:vAlign w:val="bottom"/>
          </w:tcPr>
          <w:p>
            <w:pPr>
              <w:spacing w:after="0"/>
              <w:rPr>
                <w:sz w:val="1"/>
                <w:szCs w:val="1"/>
                <w:color w:val="auto"/>
              </w:rPr>
            </w:pP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Accretion of convertible preferred shares</w:t>
            </w:r>
          </w:p>
        </w:tc>
        <w:tc>
          <w:tcPr>
            <w:tcW w:w="82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(54,849)</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(165,011)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(64,688)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(9,914)</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ordinary shareholders</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(232,346)</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(334,167)</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(471,923)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(72,326)</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Loss per share for class A and class B ordinary shares:</w:t>
            </w:r>
          </w:p>
        </w:tc>
        <w:tc>
          <w:tcPr>
            <w:tcW w:w="820" w:type="dxa"/>
            <w:vAlign w:val="bottom"/>
            <w:vMerge w:val="restart"/>
          </w:tcPr>
          <w:p>
            <w:pPr>
              <w:jc w:val="center"/>
              <w:ind w:left="156"/>
              <w:spacing w:after="0"/>
              <w:rPr>
                <w:sz w:val="20"/>
                <w:szCs w:val="20"/>
                <w:color w:val="auto"/>
              </w:rPr>
            </w:pPr>
            <w:r>
              <w:rPr>
                <w:rFonts w:ascii="Arial" w:cs="Arial" w:eastAsia="Arial" w:hAnsi="Arial"/>
                <w:sz w:val="18"/>
                <w:szCs w:val="18"/>
                <w:color w:val="auto"/>
                <w:w w:val="89"/>
              </w:rPr>
              <w:t>15</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98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shares—basic and diluted</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(10.38)</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(14.23)</w:t>
            </w:r>
          </w:p>
        </w:tc>
        <w:tc>
          <w:tcPr>
            <w:tcW w:w="11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Class A ordinary shares—basic and diluted</w:t>
            </w:r>
          </w:p>
        </w:tc>
        <w:tc>
          <w:tcPr>
            <w:tcW w:w="8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(6.88)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shares—basic and diluted</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324"/>
        </w:trPr>
        <w:tc>
          <w:tcPr>
            <w:tcW w:w="5980" w:type="dxa"/>
            <w:vAlign w:val="bottom"/>
          </w:tcPr>
          <w:p>
            <w:pPr>
              <w:spacing w:after="0"/>
              <w:rPr>
                <w:sz w:val="20"/>
                <w:szCs w:val="20"/>
                <w:color w:val="auto"/>
              </w:rPr>
            </w:pPr>
            <w:r>
              <w:rPr>
                <w:rFonts w:ascii="Arial" w:cs="Arial" w:eastAsia="Arial" w:hAnsi="Arial"/>
                <w:sz w:val="18"/>
                <w:szCs w:val="18"/>
                <w:b w:val="1"/>
                <w:bCs w:val="1"/>
                <w:color w:val="auto"/>
                <w:w w:val="93"/>
              </w:rPr>
              <w:t>Weighted average shares outstanding used in loss per share computation:</w:t>
            </w:r>
          </w:p>
        </w:tc>
        <w:tc>
          <w:tcPr>
            <w:tcW w:w="820" w:type="dxa"/>
            <w:vAlign w:val="bottom"/>
          </w:tcPr>
          <w:p>
            <w:pPr>
              <w:jc w:val="center"/>
              <w:ind w:left="156"/>
              <w:spacing w:after="0"/>
              <w:rPr>
                <w:sz w:val="20"/>
                <w:szCs w:val="20"/>
                <w:color w:val="auto"/>
              </w:rPr>
            </w:pPr>
            <w:r>
              <w:rPr>
                <w:rFonts w:ascii="Arial" w:cs="Arial" w:eastAsia="Arial" w:hAnsi="Arial"/>
                <w:sz w:val="18"/>
                <w:szCs w:val="18"/>
                <w:color w:val="auto"/>
                <w:w w:val="89"/>
              </w:rPr>
              <w:t>15</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shares—basic and diluted</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22,378,876</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23,483,915</w:t>
            </w:r>
          </w:p>
        </w:tc>
        <w:tc>
          <w:tcPr>
            <w:tcW w:w="11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Class A ordinary shares—basic and diluted</w:t>
            </w:r>
          </w:p>
        </w:tc>
        <w:tc>
          <w:tcPr>
            <w:tcW w:w="8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51,309,631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51,309,631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shares—basic and diluted</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17,324,848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17,324,848</w:t>
            </w:r>
          </w:p>
        </w:tc>
        <w:tc>
          <w:tcPr>
            <w:tcW w:w="0" w:type="dxa"/>
            <w:vAlign w:val="bottom"/>
          </w:tcPr>
          <w:p>
            <w:pPr>
              <w:spacing w:after="0"/>
              <w:rPr>
                <w:sz w:val="1"/>
                <w:szCs w:val="1"/>
                <w:color w:val="auto"/>
              </w:rPr>
            </w:pPr>
          </w:p>
        </w:tc>
      </w:tr>
      <w:tr>
        <w:trPr>
          <w:trHeight w:val="324"/>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comprehensive (loss) income, net of tax of nil:</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(3,929)</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24,104</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(176,888)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(27,109)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82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(181,426)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(145,052)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(584,123)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(89,521)</w:t>
            </w:r>
          </w:p>
        </w:tc>
        <w:tc>
          <w:tcPr>
            <w:tcW w:w="0" w:type="dxa"/>
            <w:vAlign w:val="bottom"/>
          </w:tcPr>
          <w:p>
            <w:pPr>
              <w:spacing w:after="0"/>
              <w:rPr>
                <w:sz w:val="1"/>
                <w:szCs w:val="1"/>
                <w:color w:val="auto"/>
              </w:rPr>
            </w:pPr>
          </w:p>
        </w:tc>
      </w:tr>
      <w:tr>
        <w:trPr>
          <w:trHeight w:val="115"/>
        </w:trPr>
        <w:tc>
          <w:tcPr>
            <w:tcW w:w="5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Total comprehensive loss attributable to Burning Rock Biotech Limited’s</w:t>
            </w: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w:t>
            </w:r>
          </w:p>
        </w:tc>
        <w:tc>
          <w:tcPr>
            <w:tcW w:w="8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(181,426)</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(145,052)</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(584,123)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(89,521)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SHAREHOLDERS’ (DEFICIT)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960" w:type="dxa"/>
            <w:vAlign w:val="bottom"/>
            <w:gridSpan w:val="3"/>
            <w:vMerge w:val="restart"/>
          </w:tcPr>
          <w:p>
            <w:pPr>
              <w:jc w:val="right"/>
              <w:ind w:right="392"/>
              <w:spacing w:after="0"/>
              <w:rPr>
                <w:sz w:val="20"/>
                <w:szCs w:val="20"/>
                <w:color w:val="auto"/>
              </w:rPr>
            </w:pPr>
            <w:r>
              <w:rPr>
                <w:rFonts w:ascii="Arial" w:cs="Arial" w:eastAsia="Arial" w:hAnsi="Arial"/>
                <w:sz w:val="14"/>
                <w:szCs w:val="14"/>
                <w:b w:val="1"/>
                <w:bCs w:val="1"/>
                <w:color w:val="auto"/>
              </w:rPr>
              <w:t>Ordinary shares</w:t>
            </w:r>
          </w:p>
        </w:tc>
        <w:tc>
          <w:tcPr>
            <w:tcW w:w="320" w:type="dxa"/>
            <w:vAlign w:val="bottom"/>
            <w:vMerge w:val="restart"/>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 other</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700" w:type="dxa"/>
            <w:vAlign w:val="bottom"/>
          </w:tcPr>
          <w:p>
            <w:pPr>
              <w:spacing w:after="0"/>
              <w:rPr>
                <w:sz w:val="6"/>
                <w:szCs w:val="6"/>
                <w:color w:val="auto"/>
              </w:rPr>
            </w:pPr>
          </w:p>
        </w:tc>
        <w:tc>
          <w:tcPr>
            <w:tcW w:w="196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00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paid-in</w:t>
            </w:r>
          </w:p>
        </w:tc>
        <w:tc>
          <w:tcPr>
            <w:tcW w:w="11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56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3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Total shareholders’</w:t>
            </w:r>
          </w:p>
        </w:tc>
        <w:tc>
          <w:tcPr>
            <w:tcW w:w="0" w:type="dxa"/>
            <w:vAlign w:val="bottom"/>
          </w:tcPr>
          <w:p>
            <w:pPr>
              <w:spacing w:after="0"/>
              <w:rPr>
                <w:sz w:val="1"/>
                <w:szCs w:val="1"/>
                <w:color w:val="auto"/>
              </w:rPr>
            </w:pPr>
          </w:p>
        </w:tc>
      </w:tr>
      <w:tr>
        <w:trPr>
          <w:trHeight w:val="52"/>
        </w:trPr>
        <w:tc>
          <w:tcPr>
            <w:tcW w:w="3700" w:type="dxa"/>
            <w:vAlign w:val="bottom"/>
          </w:tcPr>
          <w:p>
            <w:pPr>
              <w:spacing w:after="0"/>
              <w:rPr>
                <w:sz w:val="4"/>
                <w:szCs w:val="4"/>
                <w:color w:val="auto"/>
              </w:rPr>
            </w:pPr>
          </w:p>
        </w:tc>
        <w:tc>
          <w:tcPr>
            <w:tcW w:w="14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Number of shares</w:t>
            </w: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100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capital</w:t>
            </w: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deficit</w:t>
            </w: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(loss) income</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360" w:type="dxa"/>
            <w:vAlign w:val="bottom"/>
          </w:tcPr>
          <w:p>
            <w:pPr>
              <w:spacing w:after="0"/>
              <w:rPr>
                <w:sz w:val="15"/>
                <w:szCs w:val="15"/>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360" w:type="dxa"/>
            <w:vAlign w:val="bottom"/>
          </w:tcPr>
          <w:p>
            <w:pPr>
              <w:spacing w:after="0"/>
              <w:rPr>
                <w:sz w:val="15"/>
                <w:szCs w:val="15"/>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3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2018</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22,379,924</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28</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18,216</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(379,524)</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(10,876)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(372,156)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(177,497)</w:t>
            </w: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(177,497)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(3,929)</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Repurchase of convertible preferred shares</w:t>
            </w: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(notes 12 and 16)</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(127)</w:t>
            </w: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shares</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(54,849)</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(54,849)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Exercise of options (note 13)</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818,554</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 (note 16)</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(31,246)</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5,095</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115"/>
        </w:trPr>
        <w:tc>
          <w:tcPr>
            <w:tcW w:w="370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23,167,232</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23,311</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(611,997)</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(14,805)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(603,462)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700" w:type="dxa"/>
            <w:vAlign w:val="bottom"/>
          </w:tcPr>
          <w:p>
            <w:pPr>
              <w:spacing w:after="0"/>
              <w:rPr>
                <w:sz w:val="20"/>
                <w:szCs w:val="20"/>
                <w:color w:val="auto"/>
              </w:rPr>
            </w:pPr>
            <w:r>
              <w:rPr>
                <w:rFonts w:ascii="Arial" w:cs="Arial" w:eastAsia="Arial" w:hAnsi="Arial"/>
                <w:sz w:val="18"/>
                <w:szCs w:val="18"/>
                <w:b w:val="1"/>
                <w:bCs w:val="1"/>
                <w:color w:val="auto"/>
              </w:rPr>
              <w:t>Balance as of January 1, 2019</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23,167,232</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29</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23,311</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(611,997)</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(14,805)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(603,462)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(169,156)</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(169,156)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24,104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24,104</w:t>
            </w: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Repurchase of convertible preferred</w:t>
            </w: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shares (notes 12 and 16)</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Accretion of convertible preferred shares</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(165,011)</w:t>
            </w: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(165,011)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 (note 13)</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1,864,343</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22,329</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22,329</w:t>
            </w:r>
          </w:p>
        </w:tc>
        <w:tc>
          <w:tcPr>
            <w:tcW w:w="0" w:type="dxa"/>
            <w:vAlign w:val="bottom"/>
          </w:tcPr>
          <w:p>
            <w:pPr>
              <w:spacing w:after="0"/>
              <w:rPr>
                <w:sz w:val="1"/>
                <w:szCs w:val="1"/>
                <w:color w:val="auto"/>
              </w:rPr>
            </w:pPr>
          </w:p>
        </w:tc>
      </w:tr>
      <w:tr>
        <w:trPr>
          <w:trHeight w:val="115"/>
        </w:trPr>
        <w:tc>
          <w:tcPr>
            <w:tcW w:w="370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25,031,575</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31</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45,640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(946,464)</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9,299</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(891,494)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SHAREHOLDERS’ (DEFICIT) EQUITY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Ordinary shares</w:t>
            </w:r>
          </w:p>
        </w:tc>
        <w:tc>
          <w:tcPr>
            <w:tcW w:w="260" w:type="dxa"/>
            <w:vAlign w:val="bottom"/>
            <w:vMerge w:val="restart"/>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 other</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940" w:type="dxa"/>
            <w:vAlign w:val="bottom"/>
          </w:tcPr>
          <w:p>
            <w:pPr>
              <w:spacing w:after="0"/>
              <w:rPr>
                <w:sz w:val="6"/>
                <w:szCs w:val="6"/>
                <w:color w:val="auto"/>
              </w:rPr>
            </w:pPr>
          </w:p>
        </w:tc>
        <w:tc>
          <w:tcPr>
            <w:tcW w:w="1860" w:type="dxa"/>
            <w:vAlign w:val="bottom"/>
            <w:tcBorders>
              <w:bottom w:val="single" w:sz="8" w:color="auto"/>
            </w:tcBorders>
            <w:gridSpan w:val="3"/>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paid-in</w:t>
            </w:r>
          </w:p>
        </w:tc>
        <w:tc>
          <w:tcPr>
            <w:tcW w:w="11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3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Total shareholders’</w:t>
            </w:r>
          </w:p>
        </w:tc>
        <w:tc>
          <w:tcPr>
            <w:tcW w:w="0" w:type="dxa"/>
            <w:vAlign w:val="bottom"/>
          </w:tcPr>
          <w:p>
            <w:pPr>
              <w:spacing w:after="0"/>
              <w:rPr>
                <w:sz w:val="1"/>
                <w:szCs w:val="1"/>
                <w:color w:val="auto"/>
              </w:rPr>
            </w:pPr>
          </w:p>
        </w:tc>
      </w:tr>
      <w:tr>
        <w:trPr>
          <w:trHeight w:val="52"/>
        </w:trPr>
        <w:tc>
          <w:tcPr>
            <w:tcW w:w="3940" w:type="dxa"/>
            <w:vAlign w:val="bottom"/>
          </w:tcPr>
          <w:p>
            <w:pPr>
              <w:spacing w:after="0"/>
              <w:rPr>
                <w:sz w:val="4"/>
                <w:szCs w:val="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 shares</w:t>
            </w: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deficit</w:t>
            </w: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(loss) income</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(deficit) equity</w:t>
            </w: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5"/>
                <w:szCs w:val="15"/>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5"/>
                <w:szCs w:val="15"/>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3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25,031,575</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45,640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(946,464)</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9,299</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(891,494)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center"/>
              <w:ind w:left="392"/>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(407,235)</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(407,235)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3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(176,888)</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(176,888)</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Issuance of Class A ordinary shares</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17,040,151</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1,842,169</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1,842,193</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convertible</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(notes 12 and 16)</w:t>
            </w:r>
          </w:p>
        </w:tc>
        <w:tc>
          <w:tcPr>
            <w:tcW w:w="13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227</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Accretion of convertible preferred shares</w:t>
            </w:r>
          </w:p>
        </w:tc>
        <w:tc>
          <w:tcPr>
            <w:tcW w:w="1340" w:type="dxa"/>
            <w:vAlign w:val="bottom"/>
            <w:gridSpan w:val="2"/>
          </w:tcPr>
          <w:p>
            <w:pPr>
              <w:jc w:val="center"/>
              <w:ind w:left="392"/>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(64,688)</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(64,688)</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Conversion of all outstanding convertible preferred</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to Class A and Class B ordinary shares</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61,732,808</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1,877,625</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1,877,705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Exercise of options (note 13)</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233,440</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Class A ordinary shares in connection</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Employee Share Incentive Program</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743,955</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67,261</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67,262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w w:val="96"/>
              </w:rPr>
              <w:t>Receipt of consideration for issued ordinary shares</w:t>
            </w:r>
          </w:p>
        </w:tc>
        <w:tc>
          <w:tcPr>
            <w:tcW w:w="1340" w:type="dxa"/>
            <w:vAlign w:val="bottom"/>
            <w:gridSpan w:val="2"/>
          </w:tcPr>
          <w:p>
            <w:pPr>
              <w:jc w:val="center"/>
              <w:ind w:left="392"/>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701</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0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173,220</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173,220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940" w:type="dxa"/>
            <w:vAlign w:val="bottom"/>
          </w:tcPr>
          <w:p>
            <w:pPr>
              <w:spacing w:after="0"/>
              <w:rPr>
                <w:sz w:val="20"/>
                <w:szCs w:val="20"/>
                <w:color w:val="auto"/>
              </w:rPr>
            </w:pPr>
            <w:r>
              <w:rPr>
                <w:rFonts w:ascii="Arial" w:cs="Arial" w:eastAsia="Arial" w:hAnsi="Arial"/>
                <w:sz w:val="18"/>
                <w:szCs w:val="18"/>
                <w:b w:val="1"/>
                <w:bCs w:val="1"/>
                <w:color w:val="auto"/>
              </w:rPr>
              <w:t>Balance as of December 31, 2020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104,781,929</w:t>
            </w:r>
          </w:p>
        </w:tc>
        <w:tc>
          <w:tcPr>
            <w:tcW w:w="24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4,006,616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(1,418,160)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(167,589)</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2,421,004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 (US$)</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104,781,929</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614,041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(217,343)</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(25,683)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371,036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7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For the years ended December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80"/>
        </w:trPr>
        <w:tc>
          <w:tcPr>
            <w:tcW w:w="7520" w:type="dxa"/>
            <w:vAlign w:val="bottom"/>
          </w:tcPr>
          <w:p>
            <w:pPr>
              <w:spacing w:after="0"/>
              <w:rPr>
                <w:sz w:val="15"/>
                <w:szCs w:val="15"/>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RMB</w:t>
            </w:r>
          </w:p>
        </w:tc>
        <w:tc>
          <w:tcPr>
            <w:tcW w:w="200" w:type="dxa"/>
            <w:vAlign w:val="bottom"/>
            <w:gridSpan w:val="2"/>
          </w:tcPr>
          <w:p>
            <w:pPr>
              <w:spacing w:after="0"/>
              <w:rPr>
                <w:sz w:val="15"/>
                <w:szCs w:val="15"/>
                <w:color w:val="auto"/>
              </w:rPr>
            </w:pPr>
          </w:p>
        </w:tc>
        <w:tc>
          <w:tcPr>
            <w:tcW w:w="700" w:type="dxa"/>
            <w:vAlign w:val="bottom"/>
          </w:tcPr>
          <w:p>
            <w:pPr>
              <w:jc w:val="right"/>
              <w:ind w:right="91"/>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RMB</w:t>
            </w:r>
          </w:p>
        </w:tc>
        <w:tc>
          <w:tcPr>
            <w:tcW w:w="620" w:type="dxa"/>
            <w:vAlign w:val="bottom"/>
          </w:tcPr>
          <w:p>
            <w:pPr>
              <w:jc w:val="right"/>
              <w:ind w:right="91"/>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5"/>
                <w:szCs w:val="15"/>
                <w:color w:val="auto"/>
              </w:rPr>
            </w:pPr>
          </w:p>
        </w:tc>
      </w:tr>
      <w:tr>
        <w:trPr>
          <w:trHeight w:val="70"/>
        </w:trPr>
        <w:tc>
          <w:tcPr>
            <w:tcW w:w="7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(177,497)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(169,156)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(407,235)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(62,412)</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24,679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31,359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33,309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5,105</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11,932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13,665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2,094</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Allowance for contract assets</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3,497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536</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write down</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Loss on disposal of equipment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method investee</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5,095</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22,792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173,220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26,547</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1,811</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2,839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(3,503)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(537)</w:t>
            </w:r>
          </w:p>
        </w:tc>
      </w:tr>
      <w:tr>
        <w:trPr>
          <w:trHeight w:val="115"/>
        </w:trPr>
        <w:tc>
          <w:tcPr>
            <w:tcW w:w="75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(32,251)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(8,122)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(9,444)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(1,447)</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(65,947)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(1,999)</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Contract assets</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642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(25,122)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(3,850)</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Prepayments and other current assets</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(20,172)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(14,574)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Amounts due from related parties</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(56,191)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75,222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11,528</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(3,112)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(2,619)</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2,202</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(3,320)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25,843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3,961</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27,264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24,863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3,810</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Accrued liabilities and other current liabilities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11,979</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25,847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29,589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4,535</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deposits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Deferred government grants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1,990</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(999)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r>
      <w:tr>
        <w:trPr>
          <w:trHeight w:val="115"/>
        </w:trPr>
        <w:tc>
          <w:tcPr>
            <w:tcW w:w="75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(148,780)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(228,041)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(73,543)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(11,271)</w:t>
            </w:r>
          </w:p>
        </w:tc>
      </w:tr>
      <w:tr>
        <w:trPr>
          <w:trHeight w:val="331"/>
        </w:trPr>
        <w:tc>
          <w:tcPr>
            <w:tcW w:w="75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maturity of short-term investments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130,684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107,603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48,736</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Proceeds from disposal of equipment</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122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Prepayment of property and equipment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(1,381)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(15,286)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(2,343)</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(23,187)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(42,972)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(60,287)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(9,238)</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Purchase of long-term investment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(38,710)</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18"/>
                <w:szCs w:val="18"/>
                <w:color w:val="auto"/>
              </w:rPr>
            </w:pPr>
          </w:p>
        </w:tc>
        <w:tc>
          <w:tcPr>
            <w:tcW w:w="25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w w:val="99"/>
              </w:rPr>
              <w:t>(369,917)   (348,420)   (53,398)</w:t>
            </w:r>
          </w:p>
        </w:tc>
      </w:tr>
      <w:tr>
        <w:trPr>
          <w:trHeight w:val="20"/>
        </w:trPr>
        <w:tc>
          <w:tcPr>
            <w:tcW w:w="7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7520" w:type="dxa"/>
            <w:vAlign w:val="bottom"/>
          </w:tcPr>
          <w:p>
            <w:pPr>
              <w:spacing w:after="0"/>
              <w:rPr>
                <w:sz w:val="20"/>
                <w:szCs w:val="20"/>
                <w:color w:val="auto"/>
              </w:rPr>
            </w:pPr>
            <w:r>
              <w:rPr>
                <w:rFonts w:ascii="Arial" w:cs="Arial" w:eastAsia="Arial" w:hAnsi="Arial"/>
                <w:sz w:val="18"/>
                <w:szCs w:val="18"/>
                <w:b w:val="1"/>
                <w:bCs w:val="1"/>
                <w:color w:val="auto"/>
              </w:rPr>
              <w:t>Net cash generated from (used in) investing activities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106,091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(346,660)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(109,312)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8"/>
              </w:rPr>
              <w:t>(16,752)</w:t>
            </w:r>
          </w:p>
        </w:tc>
      </w:tr>
      <w:tr>
        <w:trPr>
          <w:trHeight w:val="20"/>
        </w:trPr>
        <w:tc>
          <w:tcPr>
            <w:tcW w:w="7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Notes</w:t>
            </w:r>
          </w:p>
        </w:tc>
        <w:tc>
          <w:tcPr>
            <w:tcW w:w="5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2"/>
              </w:rPr>
              <w:t>For the years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RMB</w:t>
            </w: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7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Proceeds from long-term borrowings</w:t>
            </w:r>
          </w:p>
        </w:tc>
        <w:tc>
          <w:tcPr>
            <w:tcW w:w="560" w:type="dxa"/>
            <w:vAlign w:val="bottom"/>
          </w:tcPr>
          <w:p>
            <w:pPr>
              <w:spacing w:after="0"/>
              <w:rPr>
                <w:sz w:val="18"/>
                <w:szCs w:val="18"/>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8"/>
                <w:szCs w:val="18"/>
                <w:color w:val="auto"/>
                <w:w w:val="98"/>
              </w:rPr>
              <w:t>96,606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14,720</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18,208</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Proceeds from IPO and concurrent private placement (“CPP”), net of issuance costs</w:t>
            </w:r>
          </w:p>
        </w:tc>
        <w:tc>
          <w:tcPr>
            <w:tcW w:w="560" w:type="dxa"/>
            <w:vAlign w:val="bottom"/>
          </w:tcPr>
          <w:p>
            <w:pPr>
              <w:spacing w:after="0"/>
              <w:rPr>
                <w:sz w:val="18"/>
                <w:szCs w:val="18"/>
                <w:color w:val="auto"/>
              </w:rPr>
            </w:pPr>
          </w:p>
        </w:tc>
        <w:tc>
          <w:tcPr>
            <w:tcW w:w="78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1,851,879</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283,813</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received from capital injection</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Proceeds from issuance of convertible preferred shares and warrant</w:t>
            </w:r>
          </w:p>
        </w:tc>
        <w:tc>
          <w:tcPr>
            <w:tcW w:w="560" w:type="dxa"/>
            <w:vAlign w:val="bottom"/>
          </w:tcPr>
          <w:p>
            <w:pPr>
              <w:spacing w:after="0"/>
              <w:rPr>
                <w:sz w:val="18"/>
                <w:szCs w:val="18"/>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8"/>
                <w:szCs w:val="18"/>
                <w:color w:val="auto"/>
              </w:rPr>
              <w:t>2,000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657,492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269,971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41,375</w:t>
            </w: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Proceeds from issuance of Class A ordinary shares in connection with Employee Share Incentive</w:t>
            </w: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Plans</w:t>
            </w:r>
          </w:p>
        </w:tc>
        <w:tc>
          <w:tcPr>
            <w:tcW w:w="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13</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67,262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10,308</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Capital lease obligations payments</w:t>
            </w:r>
          </w:p>
        </w:tc>
        <w:tc>
          <w:tcPr>
            <w:tcW w:w="560" w:type="dxa"/>
            <w:vAlign w:val="bottom"/>
          </w:tcPr>
          <w:p>
            <w:pPr>
              <w:spacing w:after="0"/>
              <w:rPr>
                <w:sz w:val="18"/>
                <w:szCs w:val="18"/>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8"/>
                <w:szCs w:val="18"/>
                <w:color w:val="auto"/>
              </w:rPr>
              <w:t>(2,545)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(4,664)</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(4,893)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(3,636)</w:t>
            </w:r>
          </w:p>
        </w:tc>
        <w:tc>
          <w:tcPr>
            <w:tcW w:w="10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Repayment of short-term borrowings</w:t>
            </w:r>
          </w:p>
        </w:tc>
        <w:tc>
          <w:tcPr>
            <w:tcW w:w="560" w:type="dxa"/>
            <w:vAlign w:val="bottom"/>
          </w:tcPr>
          <w:p>
            <w:pPr>
              <w:spacing w:after="0"/>
              <w:rPr>
                <w:sz w:val="18"/>
                <w:szCs w:val="18"/>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8"/>
                <w:szCs w:val="18"/>
                <w:color w:val="auto"/>
              </w:rPr>
              <w:t>(3,000)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(4,630)</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borrowings</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(8,168)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(87,024)</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(38,909)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Repurchase of convertible preferred shares</w:t>
            </w:r>
          </w:p>
        </w:tc>
        <w:tc>
          <w:tcPr>
            <w:tcW w:w="560" w:type="dxa"/>
            <w:vAlign w:val="bottom"/>
          </w:tcPr>
          <w:p>
            <w:pPr>
              <w:spacing w:after="0"/>
              <w:rPr>
                <w:sz w:val="18"/>
                <w:szCs w:val="18"/>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8"/>
                <w:szCs w:val="18"/>
                <w:color w:val="auto"/>
              </w:rPr>
              <w:t>(1,500)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(3,500)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115"/>
        </w:trPr>
        <w:tc>
          <w:tcPr>
            <w:tcW w:w="7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generated from financing activities</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83,393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571,735</w:t>
            </w: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4"/>
              </w:rPr>
              <w:t>2,165,719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331,910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60" w:type="dxa"/>
            <w:vAlign w:val="bottom"/>
          </w:tcPr>
          <w:p>
            <w:pPr>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560" w:type="dxa"/>
            <w:vAlign w:val="bottom"/>
          </w:tcPr>
          <w:p>
            <w:pPr>
              <w:spacing w:after="0"/>
              <w:rPr>
                <w:sz w:val="24"/>
                <w:szCs w:val="24"/>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8"/>
                <w:szCs w:val="18"/>
                <w:color w:val="auto"/>
              </w:rPr>
              <w:t>(159)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5,876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(155,902)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(23,893)</w:t>
            </w:r>
          </w:p>
        </w:tc>
        <w:tc>
          <w:tcPr>
            <w:tcW w:w="0" w:type="dxa"/>
            <w:vAlign w:val="bottom"/>
          </w:tcPr>
          <w:p>
            <w:pPr>
              <w:spacing w:after="0"/>
              <w:rPr>
                <w:sz w:val="1"/>
                <w:szCs w:val="1"/>
                <w:color w:val="auto"/>
              </w:rPr>
            </w:pPr>
          </w:p>
        </w:tc>
      </w:tr>
      <w:tr>
        <w:trPr>
          <w:trHeight w:val="115"/>
        </w:trPr>
        <w:tc>
          <w:tcPr>
            <w:tcW w:w="7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cash, cash equivalents and restricted cash</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40,545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2,910</w:t>
            </w: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4"/>
              </w:rPr>
              <w:t>1,826,962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279,994</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60" w:type="dxa"/>
            <w:vAlign w:val="bottom"/>
          </w:tcPr>
          <w:p>
            <w:pPr>
              <w:spacing w:after="0"/>
              <w:rPr>
                <w:sz w:val="20"/>
                <w:szCs w:val="20"/>
                <w:color w:val="auto"/>
              </w:rPr>
            </w:pPr>
            <w:r>
              <w:rPr>
                <w:rFonts w:ascii="Arial" w:cs="Arial" w:eastAsia="Arial" w:hAnsi="Arial"/>
                <w:sz w:val="18"/>
                <w:szCs w:val="18"/>
                <w:color w:val="auto"/>
              </w:rPr>
              <w:t>Cash, cash equivalents and restricted cash at the beginning of year</w:t>
            </w:r>
          </w:p>
        </w:tc>
        <w:tc>
          <w:tcPr>
            <w:tcW w:w="5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54,789</w:t>
            </w:r>
          </w:p>
        </w:tc>
        <w:tc>
          <w:tcPr>
            <w:tcW w:w="2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95,334</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98,244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15,057</w:t>
            </w:r>
          </w:p>
        </w:tc>
        <w:tc>
          <w:tcPr>
            <w:tcW w:w="0" w:type="dxa"/>
            <w:vAlign w:val="bottom"/>
          </w:tcPr>
          <w:p>
            <w:pPr>
              <w:spacing w:after="0"/>
              <w:rPr>
                <w:sz w:val="1"/>
                <w:szCs w:val="1"/>
                <w:color w:val="auto"/>
              </w:rPr>
            </w:pPr>
          </w:p>
        </w:tc>
      </w:tr>
      <w:tr>
        <w:trPr>
          <w:trHeight w:val="115"/>
        </w:trPr>
        <w:tc>
          <w:tcPr>
            <w:tcW w:w="7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the end of year</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w w:val="98"/>
              </w:rPr>
              <w:t>95,334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98,244</w:t>
            </w: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4"/>
              </w:rPr>
              <w:t>1,925,206</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295,051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For the years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620" w:type="dxa"/>
            <w:vAlign w:val="bottom"/>
          </w:tcPr>
          <w:p>
            <w:pPr>
              <w:spacing w:after="0"/>
              <w:rPr>
                <w:sz w:val="12"/>
                <w:szCs w:val="12"/>
                <w:color w:val="auto"/>
              </w:rPr>
            </w:pPr>
          </w:p>
        </w:tc>
        <w:tc>
          <w:tcPr>
            <w:tcW w:w="5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80"/>
        </w:trPr>
        <w:tc>
          <w:tcPr>
            <w:tcW w:w="762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rPr>
              <w:t>RMB</w:t>
            </w:r>
          </w:p>
        </w:tc>
        <w:tc>
          <w:tcPr>
            <w:tcW w:w="220" w:type="dxa"/>
            <w:vAlign w:val="bottom"/>
            <w:gridSpan w:val="2"/>
          </w:tcPr>
          <w:p>
            <w:pPr>
              <w:spacing w:after="0"/>
              <w:rPr>
                <w:sz w:val="15"/>
                <w:szCs w:val="15"/>
                <w:color w:val="auto"/>
              </w:rPr>
            </w:pPr>
          </w:p>
        </w:tc>
        <w:tc>
          <w:tcPr>
            <w:tcW w:w="640" w:type="dxa"/>
            <w:vAlign w:val="bottom"/>
          </w:tcPr>
          <w:p>
            <w:pPr>
              <w:jc w:val="right"/>
              <w:ind w:right="73"/>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1060" w:type="dxa"/>
            <w:vAlign w:val="bottom"/>
            <w:gridSpan w:val="3"/>
          </w:tcPr>
          <w:p>
            <w:pPr>
              <w:ind w:left="220"/>
              <w:spacing w:after="0"/>
              <w:rPr>
                <w:sz w:val="20"/>
                <w:szCs w:val="20"/>
                <w:color w:val="auto"/>
              </w:rPr>
            </w:pPr>
            <w:r>
              <w:rPr>
                <w:rFonts w:ascii="Arial" w:cs="Arial" w:eastAsia="Arial" w:hAnsi="Arial"/>
                <w:sz w:val="14"/>
                <w:szCs w:val="14"/>
                <w:b w:val="1"/>
                <w:bCs w:val="1"/>
                <w:color w:val="auto"/>
              </w:rPr>
              <w:t>RMB</w:t>
            </w: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5"/>
                <w:szCs w:val="15"/>
                <w:color w:val="auto"/>
              </w:rPr>
            </w:pPr>
          </w:p>
        </w:tc>
      </w:tr>
      <w:tr>
        <w:trPr>
          <w:trHeight w:val="70"/>
        </w:trPr>
        <w:tc>
          <w:tcPr>
            <w:tcW w:w="7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Interest expense paid</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13,830</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10,621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3,549</w:t>
            </w:r>
          </w:p>
        </w:tc>
        <w:tc>
          <w:tcPr>
            <w:tcW w:w="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544</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information:</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Purchase of property and equipment included in prepayments and other non-current assets</w:t>
            </w:r>
          </w:p>
        </w:tc>
        <w:tc>
          <w:tcPr>
            <w:tcW w:w="780" w:type="dxa"/>
            <w:vAlign w:val="bottom"/>
            <w:gridSpan w:val="3"/>
          </w:tcPr>
          <w:p>
            <w:pPr>
              <w:jc w:val="right"/>
              <w:ind w:right="24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2,415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included in accounts payable</w:t>
            </w:r>
          </w:p>
        </w:tc>
        <w:tc>
          <w:tcPr>
            <w:tcW w:w="7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(190)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(2,709)</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Purchase of property and equipment included in capital lease obligations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7,573</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7,694</w:t>
            </w:r>
          </w:p>
        </w:tc>
        <w:tc>
          <w:tcPr>
            <w:tcW w:w="10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of warranty liability through exercise of warrant</w:t>
            </w:r>
          </w:p>
        </w:tc>
        <w:tc>
          <w:tcPr>
            <w:tcW w:w="7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19,740</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3,025</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Conversion of convertible notes into Series C convertible preferred shares</w:t>
            </w:r>
          </w:p>
        </w:tc>
        <w:tc>
          <w:tcPr>
            <w:tcW w:w="780" w:type="dxa"/>
            <w:vAlign w:val="bottom"/>
            <w:gridSpan w:val="3"/>
          </w:tcPr>
          <w:p>
            <w:pPr>
              <w:jc w:val="right"/>
              <w:ind w:right="24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127,982</w:t>
            </w:r>
          </w:p>
        </w:tc>
        <w:tc>
          <w:tcPr>
            <w:tcW w:w="10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93,341</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94,235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1,895,308</w:t>
            </w:r>
          </w:p>
        </w:tc>
        <w:tc>
          <w:tcPr>
            <w:tcW w:w="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290,469</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29,898</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4,582</w:t>
            </w: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Total cash, cash equivalents and restricted cash shown in the statements of cash flows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95,334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98,244</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1,925,206</w:t>
            </w:r>
          </w:p>
        </w:tc>
        <w:tc>
          <w:tcPr>
            <w:tcW w:w="2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295,051</w:t>
            </w:r>
          </w:p>
        </w:tc>
        <w:tc>
          <w:tcPr>
            <w:tcW w:w="12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Burning Rock Biotech Limited (the “Company”) is a limited liability company incorporated in the Cayman Islands on March 10, 2014. The Company does not conduct any substantive operations on its own but instead conducts its business operations through its subsidiaries, the variable interest entity (“VIE”) and subsidiaries of the VIE. The Company, together with its subsidiaries, the VIE and the VIE’s subsidiaries (collectively, the “Group”) are principally engaged in the developing and providing cancer therapy selection tests in the People’s Republic of China (the “PRC” or “China”).</w:t>
      </w:r>
    </w:p>
    <w:p>
      <w:pPr>
        <w:spacing w:after="0" w:line="157"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On June 12, 2020, the Company completed its initial public offering (“IPO”) on the NASDAQ Global Select Market. The Company sold 13,500,000 ADSs, each representing one ordinary share, at $16.50 per ADS (the “IPO Price”). The Underwriters exercised their options to purchase an additional 2,025,000 ADSs. Concurrently, the Company also completed a private placement offering of 1,515,151 ADSs at the IPO Price. The Company received proceeds of US$259,892, net of underwriting discounts and offering expenses. concurrently with the IPO. The deferred IPO costs were recorded as a reduction of the proceeds received from the IPO and private placement in shareholders’ equity.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the Company’s principal subsidiaries, VIE and VIE’s subsidiaries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Percentage</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7"/>
              </w:rPr>
              <w:t>Entity</w:t>
            </w:r>
          </w:p>
        </w:tc>
        <w:tc>
          <w:tcPr>
            <w:tcW w:w="2900" w:type="dxa"/>
            <w:vAlign w:val="bottom"/>
            <w:gridSpan w:val="3"/>
            <w:vMerge w:val="restart"/>
          </w:tcPr>
          <w:p>
            <w:pPr>
              <w:spacing w:after="0"/>
              <w:rPr>
                <w:sz w:val="12"/>
                <w:szCs w:val="12"/>
                <w:color w:val="auto"/>
              </w:rPr>
            </w:pPr>
          </w:p>
        </w:tc>
        <w:tc>
          <w:tcPr>
            <w:tcW w:w="17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Date of incorporation</w:t>
            </w:r>
          </w:p>
        </w:tc>
        <w:tc>
          <w:tcPr>
            <w:tcW w:w="19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0"/>
              </w:rPr>
              <w:t>Place of incorporation</w:t>
            </w: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of legal ownership</w:t>
            </w:r>
          </w:p>
        </w:tc>
        <w:tc>
          <w:tcPr>
            <w:tcW w:w="2620" w:type="dxa"/>
            <w:vAlign w:val="bottom"/>
            <w:gridSpan w:val="3"/>
            <w:vMerge w:val="restart"/>
          </w:tcPr>
          <w:p>
            <w:pPr>
              <w:jc w:val="right"/>
              <w:ind w:right="730"/>
              <w:spacing w:after="0"/>
              <w:rPr>
                <w:sz w:val="20"/>
                <w:szCs w:val="20"/>
                <w:color w:val="auto"/>
              </w:rPr>
            </w:pPr>
            <w:r>
              <w:rPr>
                <w:rFonts w:ascii="Arial" w:cs="Arial" w:eastAsia="Arial" w:hAnsi="Arial"/>
                <w:sz w:val="14"/>
                <w:szCs w:val="14"/>
                <w:b w:val="1"/>
                <w:bCs w:val="1"/>
                <w:color w:val="auto"/>
              </w:rPr>
              <w:t>Principalactivities</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2900" w:type="dxa"/>
            <w:vAlign w:val="bottom"/>
            <w:gridSpan w:val="3"/>
            <w:vMerge w:val="continue"/>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by the Company</w:t>
            </w:r>
          </w:p>
        </w:tc>
        <w:tc>
          <w:tcPr>
            <w:tcW w:w="2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8"/>
                <w:szCs w:val="18"/>
                <w:b w:val="1"/>
                <w:bCs w:val="1"/>
                <w:color w:val="auto"/>
                <w:w w:val="85"/>
              </w:rPr>
              <w:t>Subsidiaries</w:t>
            </w:r>
          </w:p>
        </w:tc>
        <w:tc>
          <w:tcPr>
            <w:tcW w:w="23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280" w:type="dxa"/>
            <w:vAlign w:val="bottom"/>
            <w:gridSpan w:val="4"/>
          </w:tcPr>
          <w:p>
            <w:pPr>
              <w:spacing w:after="0"/>
              <w:rPr>
                <w:sz w:val="20"/>
                <w:szCs w:val="20"/>
                <w:color w:val="auto"/>
              </w:rPr>
            </w:pPr>
            <w:r>
              <w:rPr>
                <w:rFonts w:ascii="Arial" w:cs="Arial" w:eastAsia="Arial" w:hAnsi="Arial"/>
                <w:sz w:val="18"/>
                <w:szCs w:val="18"/>
                <w:color w:val="auto"/>
              </w:rPr>
              <w:t>BR Hong Kong Limited</w:t>
            </w:r>
          </w:p>
        </w:tc>
        <w:tc>
          <w:tcPr>
            <w:tcW w:w="12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April 1, 2014</w:t>
            </w:r>
          </w:p>
        </w:tc>
        <w:tc>
          <w:tcPr>
            <w:tcW w:w="1920" w:type="dxa"/>
            <w:vAlign w:val="bottom"/>
            <w:gridSpan w:val="2"/>
          </w:tcPr>
          <w:p>
            <w:pPr>
              <w:jc w:val="right"/>
              <w:ind w:right="460"/>
              <w:spacing w:after="0"/>
              <w:rPr>
                <w:sz w:val="20"/>
                <w:szCs w:val="20"/>
                <w:color w:val="auto"/>
              </w:rPr>
            </w:pPr>
            <w:r>
              <w:rPr>
                <w:rFonts w:ascii="Arial" w:cs="Arial" w:eastAsia="Arial" w:hAnsi="Arial"/>
                <w:sz w:val="18"/>
                <w:szCs w:val="18"/>
                <w:color w:val="auto"/>
              </w:rPr>
              <w:t>Hong Kong</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21"/>
                <w:szCs w:val="21"/>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310"/>
        </w:trPr>
        <w:tc>
          <w:tcPr>
            <w:tcW w:w="3280" w:type="dxa"/>
            <w:vAlign w:val="bottom"/>
            <w:gridSpan w:val="4"/>
          </w:tcPr>
          <w:p>
            <w:pPr>
              <w:spacing w:after="0"/>
              <w:rPr>
                <w:sz w:val="20"/>
                <w:szCs w:val="20"/>
                <w:color w:val="auto"/>
              </w:rPr>
            </w:pPr>
            <w:r>
              <w:rPr>
                <w:rFonts w:ascii="Arial" w:cs="Arial" w:eastAsia="Arial" w:hAnsi="Arial"/>
                <w:sz w:val="18"/>
                <w:szCs w:val="18"/>
                <w:color w:val="auto"/>
              </w:rPr>
              <w:t>Beijing Burning Rock Biotech Co., Ltd.</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(the “WFOE”)</w:t>
            </w: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June 13, 2014</w:t>
            </w:r>
          </w:p>
        </w:tc>
        <w:tc>
          <w:tcPr>
            <w:tcW w:w="1920" w:type="dxa"/>
            <w:vAlign w:val="bottom"/>
            <w:gridSpan w:val="2"/>
          </w:tcPr>
          <w:p>
            <w:pPr>
              <w:jc w:val="right"/>
              <w:ind w:right="460"/>
              <w:spacing w:after="0"/>
              <w:rPr>
                <w:sz w:val="20"/>
                <w:szCs w:val="20"/>
                <w:color w:val="auto"/>
              </w:rPr>
            </w:pPr>
            <w:r>
              <w:rPr>
                <w:rFonts w:ascii="Arial" w:cs="Arial" w:eastAsia="Arial" w:hAnsi="Arial"/>
                <w:sz w:val="18"/>
                <w:szCs w:val="18"/>
                <w:color w:val="auto"/>
              </w:rPr>
              <w:t>PRC</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Trading</w:t>
            </w: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Burning Rock Biotechnology (Shanghai)</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4"/>
          </w:tcPr>
          <w:p>
            <w:pPr>
              <w:spacing w:after="0"/>
              <w:rPr>
                <w:sz w:val="20"/>
                <w:szCs w:val="20"/>
                <w:color w:val="auto"/>
              </w:rPr>
            </w:pPr>
            <w:r>
              <w:rPr>
                <w:rFonts w:ascii="Arial" w:cs="Arial" w:eastAsia="Arial" w:hAnsi="Arial"/>
                <w:sz w:val="18"/>
                <w:szCs w:val="18"/>
                <w:color w:val="auto"/>
              </w:rPr>
              <w:t>Co., Ltd.</w:t>
            </w:r>
          </w:p>
        </w:tc>
        <w:tc>
          <w:tcPr>
            <w:tcW w:w="1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July 4, 2016</w:t>
            </w:r>
          </w:p>
        </w:tc>
        <w:tc>
          <w:tcPr>
            <w:tcW w:w="1920" w:type="dxa"/>
            <w:vAlign w:val="bottom"/>
            <w:gridSpan w:val="2"/>
          </w:tcPr>
          <w:p>
            <w:pPr>
              <w:jc w:val="right"/>
              <w:ind w:right="460"/>
              <w:spacing w:after="0"/>
              <w:rPr>
                <w:sz w:val="20"/>
                <w:szCs w:val="20"/>
                <w:color w:val="auto"/>
              </w:rPr>
            </w:pPr>
            <w:r>
              <w:rPr>
                <w:rFonts w:ascii="Arial" w:cs="Arial" w:eastAsia="Arial" w:hAnsi="Arial"/>
                <w:sz w:val="18"/>
                <w:szCs w:val="18"/>
                <w:color w:val="auto"/>
              </w:rPr>
              <w:t>PRC</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83"/>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VIE</w:t>
            </w:r>
          </w:p>
        </w:tc>
        <w:tc>
          <w:tcPr>
            <w:tcW w:w="29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gridSpan w:val="4"/>
          </w:tcPr>
          <w:p>
            <w:pPr>
              <w:spacing w:after="0"/>
              <w:rPr>
                <w:sz w:val="20"/>
                <w:szCs w:val="20"/>
                <w:color w:val="auto"/>
              </w:rPr>
            </w:pPr>
            <w:r>
              <w:rPr>
                <w:rFonts w:ascii="Arial" w:cs="Arial" w:eastAsia="Arial" w:hAnsi="Arial"/>
                <w:sz w:val="18"/>
                <w:szCs w:val="18"/>
                <w:color w:val="auto"/>
                <w:w w:val="97"/>
              </w:rPr>
              <w:t>Burning Rock (Beijing) Biotechnology Co.,</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4"/>
          </w:tcPr>
          <w:p>
            <w:pPr>
              <w:spacing w:after="0"/>
              <w:rPr>
                <w:sz w:val="20"/>
                <w:szCs w:val="20"/>
                <w:color w:val="auto"/>
              </w:rPr>
            </w:pPr>
            <w:r>
              <w:rPr>
                <w:rFonts w:ascii="Arial" w:cs="Arial" w:eastAsia="Arial" w:hAnsi="Arial"/>
                <w:sz w:val="18"/>
                <w:szCs w:val="18"/>
                <w:color w:val="auto"/>
              </w:rPr>
              <w:t>Ltd.</w:t>
            </w:r>
          </w:p>
        </w:tc>
        <w:tc>
          <w:tcPr>
            <w:tcW w:w="1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January 7, 2014</w:t>
            </w:r>
          </w:p>
        </w:tc>
        <w:tc>
          <w:tcPr>
            <w:tcW w:w="1920" w:type="dxa"/>
            <w:vAlign w:val="bottom"/>
            <w:gridSpan w:val="2"/>
          </w:tcPr>
          <w:p>
            <w:pPr>
              <w:jc w:val="right"/>
              <w:ind w:right="460"/>
              <w:spacing w:after="0"/>
              <w:rPr>
                <w:sz w:val="20"/>
                <w:szCs w:val="20"/>
                <w:color w:val="auto"/>
              </w:rPr>
            </w:pPr>
            <w:r>
              <w:rPr>
                <w:rFonts w:ascii="Arial" w:cs="Arial" w:eastAsia="Arial" w:hAnsi="Arial"/>
                <w:sz w:val="18"/>
                <w:szCs w:val="18"/>
                <w:color w:val="auto"/>
              </w:rPr>
              <w:t>PRC</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Nil</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83"/>
        </w:trPr>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VIE’s subsidiaries</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gridSpan w:val="4"/>
          </w:tcPr>
          <w:p>
            <w:pPr>
              <w:spacing w:after="0"/>
              <w:rPr>
                <w:sz w:val="20"/>
                <w:szCs w:val="20"/>
                <w:color w:val="auto"/>
              </w:rPr>
            </w:pPr>
            <w:r>
              <w:rPr>
                <w:rFonts w:ascii="Arial" w:cs="Arial" w:eastAsia="Arial" w:hAnsi="Arial"/>
                <w:sz w:val="18"/>
                <w:szCs w:val="18"/>
                <w:color w:val="auto"/>
              </w:rPr>
              <w:t>Guangzhou Burning Rock Dx Co., Ltd.</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w w:val="96"/>
              </w:rPr>
              <w:t>Cancer therapy selection test and</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March 18, 2014</w:t>
            </w:r>
          </w:p>
        </w:tc>
        <w:tc>
          <w:tcPr>
            <w:tcW w:w="1920" w:type="dxa"/>
            <w:vAlign w:val="bottom"/>
            <w:gridSpan w:val="2"/>
          </w:tcPr>
          <w:p>
            <w:pPr>
              <w:jc w:val="right"/>
              <w:ind w:right="460"/>
              <w:spacing w:after="0"/>
              <w:rPr>
                <w:sz w:val="20"/>
                <w:szCs w:val="20"/>
                <w:color w:val="auto"/>
              </w:rPr>
            </w:pPr>
            <w:r>
              <w:rPr>
                <w:rFonts w:ascii="Arial" w:cs="Arial" w:eastAsia="Arial" w:hAnsi="Arial"/>
                <w:sz w:val="18"/>
                <w:szCs w:val="18"/>
                <w:color w:val="auto"/>
              </w:rPr>
              <w:t>PRC</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Nil</w:t>
            </w:r>
          </w:p>
        </w:tc>
        <w:tc>
          <w:tcPr>
            <w:tcW w:w="68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sales of reagent kits</w:t>
            </w:r>
          </w:p>
        </w:tc>
        <w:tc>
          <w:tcPr>
            <w:tcW w:w="0" w:type="dxa"/>
            <w:vAlign w:val="bottom"/>
          </w:tcPr>
          <w:p>
            <w:pPr>
              <w:spacing w:after="0"/>
              <w:rPr>
                <w:sz w:val="1"/>
                <w:szCs w:val="1"/>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Guangzhou Burning Rock Medical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Facilitation of laboratory</w:t>
            </w:r>
          </w:p>
        </w:tc>
        <w:tc>
          <w:tcPr>
            <w:tcW w:w="0" w:type="dxa"/>
            <w:vAlign w:val="bottom"/>
          </w:tcPr>
          <w:p>
            <w:pPr>
              <w:spacing w:after="0"/>
              <w:rPr>
                <w:sz w:val="1"/>
                <w:szCs w:val="1"/>
                <w:color w:val="auto"/>
              </w:rPr>
            </w:pPr>
          </w:p>
        </w:tc>
      </w:tr>
      <w:tr>
        <w:trPr>
          <w:trHeight w:val="244"/>
        </w:trPr>
        <w:tc>
          <w:tcPr>
            <w:tcW w:w="3280" w:type="dxa"/>
            <w:vAlign w:val="bottom"/>
            <w:gridSpan w:val="4"/>
          </w:tcPr>
          <w:p>
            <w:pPr>
              <w:spacing w:after="0"/>
              <w:rPr>
                <w:sz w:val="20"/>
                <w:szCs w:val="20"/>
                <w:color w:val="auto"/>
              </w:rPr>
            </w:pPr>
            <w:r>
              <w:rPr>
                <w:rFonts w:ascii="Arial" w:cs="Arial" w:eastAsia="Arial" w:hAnsi="Arial"/>
                <w:sz w:val="18"/>
                <w:szCs w:val="18"/>
                <w:color w:val="auto"/>
              </w:rPr>
              <w:t>Equipment Co., Ltd.</w:t>
            </w:r>
          </w:p>
        </w:tc>
        <w:tc>
          <w:tcPr>
            <w:tcW w:w="12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January 6, 2015</w:t>
            </w:r>
          </w:p>
        </w:tc>
        <w:tc>
          <w:tcPr>
            <w:tcW w:w="1920" w:type="dxa"/>
            <w:vAlign w:val="bottom"/>
            <w:gridSpan w:val="2"/>
          </w:tcPr>
          <w:p>
            <w:pPr>
              <w:jc w:val="right"/>
              <w:ind w:right="460"/>
              <w:spacing w:after="0"/>
              <w:rPr>
                <w:sz w:val="20"/>
                <w:szCs w:val="20"/>
                <w:color w:val="auto"/>
              </w:rPr>
            </w:pPr>
            <w:r>
              <w:rPr>
                <w:rFonts w:ascii="Arial" w:cs="Arial" w:eastAsia="Arial" w:hAnsi="Arial"/>
                <w:sz w:val="18"/>
                <w:szCs w:val="18"/>
                <w:color w:val="auto"/>
              </w:rPr>
              <w:t>PRC</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Nil</w:t>
            </w:r>
          </w:p>
        </w:tc>
        <w:tc>
          <w:tcPr>
            <w:tcW w:w="680" w:type="dxa"/>
            <w:vAlign w:val="bottom"/>
          </w:tcPr>
          <w:p>
            <w:pPr>
              <w:spacing w:after="0"/>
              <w:rPr>
                <w:sz w:val="21"/>
                <w:szCs w:val="21"/>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equipment sales</w:t>
            </w:r>
          </w:p>
        </w:tc>
        <w:tc>
          <w:tcPr>
            <w:tcW w:w="0" w:type="dxa"/>
            <w:vAlign w:val="bottom"/>
          </w:tcPr>
          <w:p>
            <w:pPr>
              <w:spacing w:after="0"/>
              <w:rPr>
                <w:sz w:val="1"/>
                <w:szCs w:val="1"/>
                <w:color w:val="auto"/>
              </w:rPr>
            </w:pPr>
          </w:p>
        </w:tc>
      </w:tr>
      <w:tr>
        <w:trPr>
          <w:trHeight w:val="310"/>
        </w:trPr>
        <w:tc>
          <w:tcPr>
            <w:tcW w:w="3280" w:type="dxa"/>
            <w:vAlign w:val="bottom"/>
            <w:gridSpan w:val="4"/>
          </w:tcPr>
          <w:p>
            <w:pPr>
              <w:spacing w:after="0"/>
              <w:rPr>
                <w:sz w:val="20"/>
                <w:szCs w:val="20"/>
                <w:color w:val="auto"/>
              </w:rPr>
            </w:pPr>
            <w:r>
              <w:rPr>
                <w:rFonts w:ascii="Arial" w:cs="Arial" w:eastAsia="Arial" w:hAnsi="Arial"/>
                <w:sz w:val="18"/>
                <w:szCs w:val="18"/>
                <w:color w:val="auto"/>
              </w:rPr>
              <w:t>Guangzhou Burning Rock Biotechnology</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w w:val="96"/>
              </w:rPr>
              <w:t>Cancer therapy selection test and</w:t>
            </w:r>
          </w:p>
        </w:tc>
        <w:tc>
          <w:tcPr>
            <w:tcW w:w="0" w:type="dxa"/>
            <w:vAlign w:val="bottom"/>
          </w:tcPr>
          <w:p>
            <w:pPr>
              <w:spacing w:after="0"/>
              <w:rPr>
                <w:sz w:val="1"/>
                <w:szCs w:val="1"/>
                <w:color w:val="auto"/>
              </w:rPr>
            </w:pPr>
          </w:p>
        </w:tc>
      </w:tr>
      <w:tr>
        <w:trPr>
          <w:trHeight w:val="230"/>
        </w:trPr>
        <w:tc>
          <w:tcPr>
            <w:tcW w:w="3280" w:type="dxa"/>
            <w:vAlign w:val="bottom"/>
            <w:gridSpan w:val="4"/>
          </w:tcPr>
          <w:p>
            <w:pPr>
              <w:spacing w:after="0"/>
              <w:rPr>
                <w:sz w:val="20"/>
                <w:szCs w:val="20"/>
                <w:color w:val="auto"/>
              </w:rPr>
            </w:pPr>
            <w:r>
              <w:rPr>
                <w:rFonts w:ascii="Arial" w:cs="Arial" w:eastAsia="Arial" w:hAnsi="Arial"/>
                <w:sz w:val="18"/>
                <w:szCs w:val="18"/>
                <w:color w:val="auto"/>
              </w:rPr>
              <w:t>Co., Ltd.</w:t>
            </w:r>
          </w:p>
        </w:tc>
        <w:tc>
          <w:tcPr>
            <w:tcW w:w="1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January 23, 2018</w:t>
            </w:r>
          </w:p>
        </w:tc>
        <w:tc>
          <w:tcPr>
            <w:tcW w:w="1920" w:type="dxa"/>
            <w:vAlign w:val="bottom"/>
            <w:gridSpan w:val="2"/>
          </w:tcPr>
          <w:p>
            <w:pPr>
              <w:jc w:val="right"/>
              <w:ind w:right="460"/>
              <w:spacing w:after="0"/>
              <w:rPr>
                <w:sz w:val="20"/>
                <w:szCs w:val="20"/>
                <w:color w:val="auto"/>
              </w:rPr>
            </w:pPr>
            <w:r>
              <w:rPr>
                <w:rFonts w:ascii="Arial" w:cs="Arial" w:eastAsia="Arial" w:hAnsi="Arial"/>
                <w:sz w:val="18"/>
                <w:szCs w:val="18"/>
                <w:color w:val="auto"/>
              </w:rPr>
              <w:t>PRC</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Nil</w:t>
            </w:r>
          </w:p>
        </w:tc>
        <w:tc>
          <w:tcPr>
            <w:tcW w:w="68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sales of reagent kits</w:t>
            </w: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gridSpan w:val="2"/>
          </w:tcPr>
          <w:p>
            <w:pPr>
              <w:jc w:val="right"/>
              <w:ind w:right="1260"/>
              <w:spacing w:after="0"/>
              <w:rPr>
                <w:sz w:val="20"/>
                <w:szCs w:val="20"/>
                <w:color w:val="auto"/>
              </w:rPr>
            </w:pPr>
            <w:r>
              <w:rPr>
                <w:rFonts w:ascii="Arial" w:cs="Arial" w:eastAsia="Arial" w:hAnsi="Arial"/>
                <w:sz w:val="18"/>
                <w:szCs w:val="18"/>
                <w:color w:val="auto"/>
              </w:rPr>
              <w:t>F-12</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(CONTINUED)</w:t>
      </w:r>
    </w:p>
    <w:p>
      <w:pPr>
        <w:spacing w:after="0" w:line="37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To comply with PRC laws and regulations which prohibit and restrict foreign ownership of business involving the development and application of genomic diagnosis and treatment technology, the Group conducts its business in the PRC principally through the VIE and the VIE’s subsidiaries. The equity interests of the VIE are legally held by PRC shareholders (the “Nominee Shareholders”).</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Despite the lack of majority ownership, the Company through the wholly foreign owned entity (“the WFOE”) has effective control of the VIE through a series of contractual arrangements (the “VIE agreements”) and a parent-subsidiary relationship exists between the WFOE and the VIE since 2014. Through the VIE agreements, the Nominee Shareholders of the VIE effectively assigned all of their voting rights underlying their equity interests in the VIE to the WFOE, and therefore, the WFOE has the power to direct the activities of the VIE that most significantly impact its economic performance. The WFOE also has the right to receive economic benefits that potentially could be significant to the VIE. Therefore, the WFOE is considered the primary beneficiary of the VIE and consolidates the VIE in accordance with Accounting Standards Codification (“ASC”) Topic 810-10 (“ASC 810-10”)</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Consolidation: Overall.</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the VIE agreements: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Exclusive Business Cooperation Agreement</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Pursuant to the exclusive business cooperation agreement entered into amongst the WFOE and the VIE on June 20, 2014, the WFOE provides exclusive business support, technology services and consulting services in return for service fees, which is adjustable at the sole discretion of the WFOE. Without the WFOE’s consent, the VIE cannot procure services from any third party or enter into similar service arrangements with any other third party, except for the ones appointed by the WFOE. The agreement was effective for 20 years from June 20, 2014 and automatically renew for 10 years if all parties have no objection.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Power of Attorney</w:t>
      </w:r>
    </w:p>
    <w:p>
      <w:pPr>
        <w:spacing w:after="0" w:line="11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Nominee Shareholders signed Power of Attorney on June 20, 2014 to irrevocably appoint the WFOE, or its designated party, as the attorney-in-fact to exercise rights on the Nominee Shareholders’ behalf any and all rights that such shareholder has in respect of its equity interest in the VIE such as the right to appoint or remove directors, supervisors and officers, as well as the right to sell, transfer, pledge or dispose of all or any portion of the equity interests held by such shareholder, or of the assets held by the VIE. This agreement will remain effective until it is terminated by the WFOE.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Exclusive Option Agreement</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Pursuant to the exclusive option agreements entered into amongst the VIE, the Nominee Shareholders and the WFOE on June 20, 2014, the Nominee Shareholders irrevocably granted the WFOE an exclusive option to request the Nominee Shareholders to transfer or sell any part or all of its equity interests in the VIE to the WFOE, or its designees. The purchase price of the equity interests in the VIE is equal to the minimum price required by PRC law. Any proceeds received by the Nominee Shareholders from the exercise of the right shall be remitted to the WFOE, to the extent permitted under the PRC laws. Without the WFOE’s prior written consent, the VIE and the Nominee Shareholders may not amend its articles of association, increase or decrease the registered capital, sell or otherwise dispose of its assets or beneficial interest, create or allow any encumbrance on its assets or other beneficial interests, provide any loans or guarantees and request any dividends or other form of assets. This agreement is not terminated until all of the equity interest of the VIE has been transferred to the WFOE or the person(s) designated by the WFOE.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(CONTINUED)</w:t>
      </w:r>
    </w:p>
    <w:p>
      <w:pPr>
        <w:spacing w:after="0" w:line="162"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Pursuant to the equity interest pledge agreements entered into amongst the WFOE, the VIE and the Nominee Shareholders on June 20, 2014, the Nominee Shareholders pledged all of their equity interests in the VIE to the WFOE as collateral to secure their obligations under the exclusive business cooperation agreement. The WFOE is entitled to all dividends during the effective period of the share pledge except as it agrees otherwise in writing. If the VIE or any of the Nominee Shareholders breaches its contractual obligations, the WFOE is entitled to certain rights regarding the pledged equity interests, including the right to receive proceeds from the auction or sale of all or part of the pledged equity interests of VIE in accordance with PRC law. The Nominee Shareholders agree not to create any encumbrance on or otherwise transfer or dispose of their respective equity interests in the VIE, without the prior consent of the WFOE.</w:t>
      </w:r>
    </w:p>
    <w:p>
      <w:pPr>
        <w:spacing w:after="0" w:line="195"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Power of Attorney, Exclusive Option Agreement and Equity Interest Pledge Agreement were amended and restated on August 27, 2015, July 1, 2016, April 19, 2018 and January 4, 2019 to reflect the new nominee shareholders appointed by the Series A, Series B and Series C preferred shareholders and the resulting equity ratio adjustments from the preferred shareholders’ investment.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October 21, 2019, the VIE Agreements were supplemented by the following terms:</w:t>
      </w:r>
    </w:p>
    <w:p>
      <w:pPr>
        <w:spacing w:after="0" w:line="374"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Exclusive option agreement</w:t>
      </w:r>
    </w:p>
    <w:p>
      <w:pPr>
        <w:spacing w:after="0" w:line="131" w:lineRule="exact"/>
        <w:rPr>
          <w:sz w:val="20"/>
          <w:szCs w:val="20"/>
          <w:color w:val="auto"/>
        </w:rPr>
      </w:pPr>
    </w:p>
    <w:p>
      <w:pPr>
        <w:ind w:left="540" w:hanging="424"/>
        <w:spacing w:after="0" w:line="286" w:lineRule="auto"/>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VIE irrevocably grants the WFOE an exclusive asset purchase option whereby the WFOE has the right to purchase or designate another party to purchase part or all of the assets of the VIE as permitted under the PRC laws. The purchase price of the VIE’s assets is equal to the book value of the assets or the minimum price as permitted by applicable PRC law, whichever is higher; and</w:t>
      </w:r>
    </w:p>
    <w:p>
      <w:pPr>
        <w:spacing w:after="0" w:line="70" w:lineRule="exact"/>
        <w:rPr>
          <w:rFonts w:ascii="Arial" w:cs="Arial" w:eastAsia="Arial" w:hAnsi="Arial"/>
          <w:sz w:val="17"/>
          <w:szCs w:val="17"/>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WFOE has the right to unilaterally amendment, supplement and termination of this agreement.</w:t>
      </w:r>
    </w:p>
    <w:p>
      <w:pPr>
        <w:spacing w:after="0" w:line="374"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Exclusive Business Cooperation Agreement</w:t>
      </w:r>
    </w:p>
    <w:p>
      <w:pPr>
        <w:spacing w:after="0" w:line="131" w:lineRule="exact"/>
        <w:rPr>
          <w:sz w:val="20"/>
          <w:szCs w:val="20"/>
          <w:color w:val="auto"/>
        </w:rPr>
      </w:pPr>
    </w:p>
    <w:p>
      <w:pPr>
        <w:jc w:val="both"/>
        <w:ind w:left="540" w:right="100" w:hanging="424"/>
        <w:spacing w:after="0" w:line="263"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exchange for these services, the VIE will pay a service fee, equal to the VIE’s profit before tax, after recovering any accumulated losses of the VIE and its subsidiaries from the preceding fiscal year, and deducting working capital, expenses, tax and a reasonable amount of operating profit according to applicable tax law principles and tax practice; and</w:t>
      </w:r>
    </w:p>
    <w:p>
      <w:pPr>
        <w:spacing w:after="0" w:line="89" w:lineRule="exact"/>
        <w:rPr>
          <w:rFonts w:ascii="Arial" w:cs="Arial" w:eastAsia="Arial" w:hAnsi="Arial"/>
          <w:sz w:val="18"/>
          <w:szCs w:val="18"/>
          <w:color w:val="auto"/>
        </w:rPr>
      </w:pPr>
    </w:p>
    <w:p>
      <w:pPr>
        <w:ind w:left="540" w:right="200" w:hanging="424"/>
        <w:spacing w:after="0" w:line="263"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agreement will be in effect for 10 years unless the WFOE unilaterally terminates the agreement by giving written notification at least thirty days prior to the expiration of the agreement. The WFOE may at its sole discretion unilaterally extend the term of this agreement prior to its expiration upon notice to the VIE.</w:t>
      </w:r>
    </w:p>
    <w:p>
      <w:pPr>
        <w:spacing w:after="0" w:line="332"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Equity Interest Pledge Agreement</w:t>
      </w:r>
    </w:p>
    <w:p>
      <w:pPr>
        <w:spacing w:after="0" w:line="131" w:lineRule="exact"/>
        <w:rPr>
          <w:sz w:val="20"/>
          <w:szCs w:val="20"/>
          <w:color w:val="auto"/>
        </w:rPr>
      </w:pPr>
    </w:p>
    <w:p>
      <w:pPr>
        <w:ind w:left="540" w:right="80" w:hanging="424"/>
        <w:spacing w:after="0" w:line="263"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Nominee Shareholders pledged all of their respective equity interests in the VIE to the WFOE as continuing first priority security interest to guarantee the performance of these Nominee Shareholders and the VIE’s obligations under the power of attorney, the exclusive option agreement and the exclusive business cooperation agreement; and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80"/>
          </w:cols>
          <w:pgMar w:left="32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(CONTINUED)</w:t>
      </w:r>
    </w:p>
    <w:p>
      <w:pPr>
        <w:spacing w:after="0" w:line="135"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Equity Interest Pledge Agreement </w:t>
      </w:r>
      <w:r>
        <w:rPr>
          <w:rFonts w:ascii="Arial" w:cs="Arial" w:eastAsia="Arial" w:hAnsi="Arial"/>
          <w:sz w:val="18"/>
          <w:szCs w:val="18"/>
          <w:color w:val="auto"/>
        </w:rPr>
        <w:t>(continued)</w:t>
      </w:r>
    </w:p>
    <w:p>
      <w:pPr>
        <w:spacing w:after="0" w:line="279"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This agreement will remain effective until all the contractual obligations have been satisfied in full under all the agreements mentioned above.</w:t>
      </w:r>
    </w:p>
    <w:p>
      <w:pPr>
        <w:spacing w:after="0" w:line="397"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support undertaking letter</w:t>
      </w:r>
    </w:p>
    <w:p>
      <w:pPr>
        <w:spacing w:after="0" w:line="252" w:lineRule="exact"/>
        <w:rPr>
          <w:sz w:val="20"/>
          <w:szCs w:val="20"/>
          <w:color w:val="auto"/>
        </w:rPr>
      </w:pPr>
    </w:p>
    <w:p>
      <w:pPr>
        <w:ind w:left="540" w:right="40" w:hanging="424"/>
        <w:spacing w:after="0" w:line="259"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Pursuant to the financial support undertaking letter, the Company is obligated and hereby undertakes to provide unlimited financial support to the VIE, to the extent permissible under the applicable PRC laws and regulations, whether or not any such operational loss is actually incurred. The Company will not request repayment of the loans or borrowings if the VIE or its Nominee Shareholders do not have sufficient funds or are unable to repay.</w:t>
      </w:r>
    </w:p>
    <w:p>
      <w:pPr>
        <w:spacing w:after="0" w:line="335"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Voting proxy agreement</w:t>
      </w:r>
    </w:p>
    <w:p>
      <w:pPr>
        <w:spacing w:after="0" w:line="252" w:lineRule="exact"/>
        <w:rPr>
          <w:sz w:val="20"/>
          <w:szCs w:val="20"/>
          <w:color w:val="auto"/>
        </w:rPr>
      </w:pPr>
    </w:p>
    <w:p>
      <w:pPr>
        <w:ind w:left="540" w:right="160" w:hanging="424"/>
        <w:spacing w:after="0" w:line="277"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Pursuant to the voting proxy agreement, the WFOE irrevocably and unconditionally commits to execute its rights under the power of attorney in accordance with the instructions from the Company.</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a result of the amended agreements on October 21, 2019, the power and the rights pursuant to the power of attorney have since been effectively reassigned to the Company which has the power to direct the activities of the VIE that most significantly impact the VIE’s economic performance. The Company is also obligated to absorb the expected losses of the VIE through the financial support as described above. The Company and the WFOE, as a group of related parties, hold all of the variable interests of the VIE. The Company has been determined to be most closely associated with the VIE within the group of related parties and has replaced the WFOE as the primary beneficiary of the VIE since October 2019. As the VIE was subject to indirect control by the Company through the WFOE immediately before and direct control immediately after the VIE Agreements were supplemented, the change of the primary beneficiary of the VIE was accounted for as a common control transaction based on the carrying amount of the net assets transferred.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the opinion of the Company’s legal counsel, (i) the ownership structure of the WFOE and its VIE is in compliance with PRC laws and regulations;</w:t>
      </w:r>
    </w:p>
    <w:p>
      <w:pPr>
        <w:spacing w:after="0" w:line="46" w:lineRule="exact"/>
        <w:rPr>
          <w:sz w:val="20"/>
          <w:szCs w:val="20"/>
          <w:color w:val="auto"/>
        </w:rPr>
      </w:pPr>
    </w:p>
    <w:p>
      <w:pPr>
        <w:ind w:left="380" w:hanging="264"/>
        <w:spacing w:after="0"/>
        <w:tabs>
          <w:tab w:leader="none" w:pos="3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contractual arrangements with the VIE and their shareholders are valid and binding, and not in violation of current PRC laws or regulations;</w:t>
      </w:r>
    </w:p>
    <w:p>
      <w:pPr>
        <w:spacing w:after="0" w:line="20" w:lineRule="exact"/>
        <w:rPr>
          <w:rFonts w:ascii="Arial" w:cs="Arial" w:eastAsia="Arial" w:hAnsi="Arial"/>
          <w:sz w:val="17"/>
          <w:szCs w:val="17"/>
          <w:color w:val="auto"/>
        </w:rPr>
      </w:pPr>
    </w:p>
    <w:p>
      <w:pPr>
        <w:ind w:left="120" w:right="560" w:hanging="4"/>
        <w:spacing w:after="0" w:line="260" w:lineRule="auto"/>
        <w:tabs>
          <w:tab w:leader="none" w:pos="43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voting proxy agreement between the Company and the WFOE is valid in accordance with the articles of association of the Company and Cayman Islands Law.</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(CONTINUED)</w:t>
      </w:r>
    </w:p>
    <w:p>
      <w:pPr>
        <w:spacing w:after="0" w:line="16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However, uncertainties in the PRC legal system could cause the relevant regulatory authorities to find the current VIE Agreements and businesses to be in violation of any existing or future PRC laws or regulations and could limit the Company’s ability to enforce its rights under these contractual arrangements. Furthermore, the nominee shareholders of the VIE may have interests that are different from those of the Company, which could potentially increase the risk that they would seek to act contrary to the terms of the contractual agreements with the VIE.</w:t>
      </w:r>
    </w:p>
    <w:p>
      <w:pPr>
        <w:spacing w:after="0" w:line="17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In addition, if the current structure or any of the contractual arrangements were found to be in violation of any existing or future PRC laws or regulations, the Company may be subject to penalties, including but not be limited to, revocation of business and operating licenses, discontinuing or restricting business operations, restricting the Company’s right to collect revenues, temporary or permanent blocking of the Company’s internet platforms, restructuring of the Company’s operations, imposition of additional conditions or requirements with which the Company may not be able to comply, or other regulatory or enforcement actions against the Company that could be harmful to its business. The imposition of any of these or other penalties could have a material adverse effect on the Company’s ability to conduct its business.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20"/>
          </w:cols>
          <w:pgMar w:left="320" w:top="459" w:right="5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left="680" w:right="2540"/>
        <w:spacing w:after="0" w:line="255" w:lineRule="auto"/>
        <w:rPr>
          <w:sz w:val="20"/>
          <w:szCs w:val="20"/>
          <w:color w:val="auto"/>
        </w:rPr>
      </w:pPr>
      <w:r>
        <w:rPr>
          <w:rFonts w:ascii="Arial" w:cs="Arial" w:eastAsia="Arial" w:hAnsi="Arial"/>
          <w:sz w:val="18"/>
          <w:szCs w:val="18"/>
          <w:b w:val="1"/>
          <w:bCs w:val="1"/>
          <w:color w:val="auto"/>
        </w:rPr>
        <w:t>FOR THE YEARS ENDED DECEMBER 31, 2018, 2019 AND 2020 (Amounts in thousands of Renminbi (“RMB”) and US dollars (“US$”), except for number of shares and per share data)</w:t>
      </w:r>
    </w:p>
    <w:p>
      <w:pPr>
        <w:spacing w:after="0" w:line="213"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assets and liabilities of the VIE and subsidiaries of the VIE included in the Group’s consolidated balance sheets: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0" w:type="dxa"/>
            <w:vAlign w:val="bottom"/>
            <w:tcBorders>
              <w:bottom w:val="single" w:sz="8" w:color="auto"/>
            </w:tcBorders>
            <w:gridSpan w:val="5"/>
          </w:tcPr>
          <w:p>
            <w:pPr>
              <w:jc w:val="center"/>
              <w:ind w:left="492"/>
              <w:spacing w:after="0"/>
              <w:rPr>
                <w:sz w:val="20"/>
                <w:szCs w:val="20"/>
                <w:color w:val="auto"/>
              </w:rPr>
            </w:pPr>
            <w:r>
              <w:rPr>
                <w:rFonts w:ascii="Arial" w:cs="Arial" w:eastAsia="Arial" w:hAnsi="Arial"/>
                <w:sz w:val="14"/>
                <w:szCs w:val="14"/>
                <w:b w:val="1"/>
                <w:bCs w:val="1"/>
                <w:color w:val="auto"/>
                <w:w w:val="90"/>
              </w:rPr>
              <w:t>As of December 31,</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6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16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64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5"/>
                <w:szCs w:val="15"/>
                <w:color w:val="auto"/>
              </w:rPr>
            </w:pPr>
          </w:p>
        </w:tc>
        <w:tc>
          <w:tcPr>
            <w:tcW w:w="92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RMB</w:t>
            </w:r>
          </w:p>
        </w:tc>
        <w:tc>
          <w:tcPr>
            <w:tcW w:w="60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149,736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Restricted cash</w:t>
            </w:r>
          </w:p>
        </w:tc>
        <w:tc>
          <w:tcPr>
            <w:tcW w:w="640" w:type="dxa"/>
            <w:vAlign w:val="bottom"/>
          </w:tcPr>
          <w:p>
            <w:pPr>
              <w:jc w:val="right"/>
              <w:spacing w:after="0"/>
              <w:rPr>
                <w:sz w:val="20"/>
                <w:szCs w:val="20"/>
                <w:color w:val="auto"/>
              </w:rPr>
            </w:pPr>
            <w:r>
              <w:rPr>
                <w:rFonts w:ascii="Arial" w:cs="Arial" w:eastAsia="Arial" w:hAnsi="Arial"/>
                <w:sz w:val="18"/>
                <w:szCs w:val="18"/>
                <w:color w:val="auto"/>
              </w:rPr>
              <w:t>4,009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Accounts receivable (net of allowances of RMB12,665 and RMB23,983 (US$3,676) as of</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2019 and 2020, respectively)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88,217</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Contract assets</w:t>
            </w:r>
          </w:p>
        </w:tc>
        <w:tc>
          <w:tcPr>
            <w:tcW w:w="640" w:type="dxa"/>
            <w:vAlign w:val="bottom"/>
          </w:tcPr>
          <w:p>
            <w:pPr>
              <w:jc w:val="right"/>
              <w:spacing w:after="0"/>
              <w:rPr>
                <w:sz w:val="20"/>
                <w:szCs w:val="20"/>
                <w:color w:val="auto"/>
              </w:rPr>
            </w:pPr>
            <w:r>
              <w:rPr>
                <w:rFonts w:ascii="Arial" w:cs="Arial" w:eastAsia="Arial" w:hAnsi="Arial"/>
                <w:sz w:val="18"/>
                <w:szCs w:val="18"/>
                <w:color w:val="auto"/>
              </w:rPr>
              <w:t>909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22,534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Inter-company receivables*</w:t>
            </w:r>
          </w:p>
        </w:tc>
        <w:tc>
          <w:tcPr>
            <w:tcW w:w="640" w:type="dxa"/>
            <w:vAlign w:val="bottom"/>
          </w:tcPr>
          <w:p>
            <w:pPr>
              <w:jc w:val="right"/>
              <w:spacing w:after="0"/>
              <w:rPr>
                <w:sz w:val="20"/>
                <w:szCs w:val="20"/>
                <w:color w:val="auto"/>
              </w:rPr>
            </w:pPr>
            <w:r>
              <w:rPr>
                <w:rFonts w:ascii="Arial" w:cs="Arial" w:eastAsia="Arial" w:hAnsi="Arial"/>
                <w:sz w:val="18"/>
                <w:szCs w:val="18"/>
                <w:color w:val="auto"/>
              </w:rPr>
              <w:t>7,232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8,432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61,374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15,931</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17,548</w:t>
            </w: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196,452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348,316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33,246</w:t>
            </w: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32,342</w:t>
            </w: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w:t>
            </w: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38,216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232,960</w:t>
            </w: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386,532</w:t>
            </w:r>
          </w:p>
        </w:tc>
        <w:tc>
          <w:tcPr>
            <w:tcW w:w="2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Deferred revenue</w:t>
            </w:r>
          </w:p>
        </w:tc>
        <w:tc>
          <w:tcPr>
            <w:tcW w:w="640" w:type="dxa"/>
            <w:vAlign w:val="bottom"/>
          </w:tcPr>
          <w:p>
            <w:pPr>
              <w:jc w:val="right"/>
              <w:spacing w:after="0"/>
              <w:rPr>
                <w:sz w:val="20"/>
                <w:szCs w:val="20"/>
                <w:color w:val="auto"/>
              </w:rPr>
            </w:pPr>
            <w:r>
              <w:rPr>
                <w:rFonts w:ascii="Arial" w:cs="Arial" w:eastAsia="Arial" w:hAnsi="Arial"/>
                <w:sz w:val="18"/>
                <w:szCs w:val="18"/>
                <w:color w:val="auto"/>
              </w:rPr>
              <w:t>49,539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74,402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273,772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495,526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Capital lease obligations, current</w:t>
            </w:r>
          </w:p>
        </w:tc>
        <w:tc>
          <w:tcPr>
            <w:tcW w:w="640" w:type="dxa"/>
            <w:vAlign w:val="bottom"/>
          </w:tcPr>
          <w:p>
            <w:pPr>
              <w:jc w:val="right"/>
              <w:spacing w:after="0"/>
              <w:rPr>
                <w:sz w:val="20"/>
                <w:szCs w:val="20"/>
                <w:color w:val="auto"/>
              </w:rPr>
            </w:pPr>
            <w:r>
              <w:rPr>
                <w:rFonts w:ascii="Arial" w:cs="Arial" w:eastAsia="Arial" w:hAnsi="Arial"/>
                <w:sz w:val="18"/>
                <w:szCs w:val="18"/>
                <w:color w:val="auto"/>
              </w:rPr>
              <w:t>4,893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4,816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and other current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54,271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Customer deposits</w:t>
            </w:r>
          </w:p>
        </w:tc>
        <w:tc>
          <w:tcPr>
            <w:tcW w:w="640" w:type="dxa"/>
            <w:vAlign w:val="bottom"/>
          </w:tcPr>
          <w:p>
            <w:pPr>
              <w:jc w:val="right"/>
              <w:spacing w:after="0"/>
              <w:rPr>
                <w:sz w:val="20"/>
                <w:szCs w:val="20"/>
                <w:color w:val="auto"/>
              </w:rPr>
            </w:pPr>
            <w:r>
              <w:rPr>
                <w:rFonts w:ascii="Arial" w:cs="Arial" w:eastAsia="Arial" w:hAnsi="Arial"/>
                <w:sz w:val="18"/>
                <w:szCs w:val="18"/>
                <w:color w:val="auto"/>
              </w:rPr>
              <w:t>4,104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1,120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portion of long-term borrowings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30,987</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414,155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664,642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101,862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Deferred government grant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Long-term borrowings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420,228</w:t>
            </w: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664,905</w:t>
            </w:r>
          </w:p>
        </w:tc>
        <w:tc>
          <w:tcPr>
            <w:tcW w:w="2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101,902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hanging="224"/>
        <w:spacing w:after="0" w:line="277"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Inter-company receivables/payables represent balances of VIE and subsidiaries of the VIE due from/to the Company and the Group’s consolidated subsidiaries.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0880"/>
          </w:cols>
          <w:pgMar w:left="320" w:top="459" w:right="6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(CONTINUED)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Equity Interest Pledge Agreement </w:t>
      </w:r>
      <w:r>
        <w:rPr>
          <w:rFonts w:ascii="Arial" w:cs="Arial" w:eastAsia="Arial" w:hAnsi="Arial"/>
          <w:sz w:val="18"/>
          <w:szCs w:val="18"/>
          <w:color w:val="auto"/>
        </w:rPr>
        <w:t>(continued)</w:t>
      </w:r>
    </w:p>
    <w:p>
      <w:pPr>
        <w:spacing w:after="0" w:line="15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table sets forth the results of operations of the VIE and subsidiaries of the VIE included in the Group’s consolidated statements of comprehensive loss:</w:t>
      </w:r>
    </w:p>
    <w:p>
      <w:pPr>
        <w:spacing w:after="0" w:line="189"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6350</wp:posOffset>
            </wp:positionV>
            <wp:extent cx="20485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ind w:left="7540"/>
        <w:spacing w:after="0"/>
        <w:tabs>
          <w:tab w:leader="none" w:pos="8360" w:val="left"/>
          <w:tab w:leader="none" w:pos="96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-3175</wp:posOffset>
            </wp:positionV>
            <wp:extent cx="20485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ind w:left="7500"/>
        <w:spacing w:after="0"/>
        <w:tabs>
          <w:tab w:leader="none" w:pos="8340" w:val="left"/>
          <w:tab w:leader="none" w:pos="9220" w:val="left"/>
          <w:tab w:leader="none" w:pos="1012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3"/>
          <w:szCs w:val="13"/>
          <w:b w:val="1"/>
          <w:bCs w:val="1"/>
          <w:color w:val="auto"/>
        </w:rPr>
        <w:t>US$</w:t>
      </w:r>
    </w:p>
    <w:p>
      <w:pPr>
        <w:spacing w:after="0" w:line="10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204,310</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381,460</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432,142</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66,229</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Net loss</w:t>
            </w:r>
          </w:p>
        </w:tc>
        <w:tc>
          <w:tcPr>
            <w:tcW w:w="3820" w:type="dxa"/>
            <w:vAlign w:val="bottom"/>
          </w:tcPr>
          <w:p>
            <w:pPr>
              <w:jc w:val="right"/>
              <w:ind w:right="10"/>
              <w:spacing w:after="0"/>
              <w:rPr>
                <w:sz w:val="20"/>
                <w:szCs w:val="20"/>
                <w:color w:val="auto"/>
              </w:rPr>
            </w:pPr>
            <w:r>
              <w:rPr>
                <w:rFonts w:ascii="Arial" w:cs="Arial" w:eastAsia="Arial" w:hAnsi="Arial"/>
                <w:sz w:val="18"/>
                <w:szCs w:val="18"/>
                <w:color w:val="auto"/>
              </w:rPr>
              <w:t>(93,455)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(72,015)</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(244,765)</w:t>
            </w:r>
          </w:p>
        </w:tc>
        <w:tc>
          <w:tcPr>
            <w:tcW w:w="760" w:type="dxa"/>
            <w:vAlign w:val="bottom"/>
          </w:tcPr>
          <w:p>
            <w:pPr>
              <w:jc w:val="right"/>
              <w:spacing w:after="0"/>
              <w:rPr>
                <w:sz w:val="20"/>
                <w:szCs w:val="20"/>
                <w:color w:val="auto"/>
              </w:rPr>
            </w:pPr>
            <w:r>
              <w:rPr>
                <w:rFonts w:ascii="Arial" w:cs="Arial" w:eastAsia="Arial" w:hAnsi="Arial"/>
                <w:sz w:val="18"/>
                <w:szCs w:val="18"/>
                <w:color w:val="auto"/>
              </w:rPr>
              <w:t>(37,510)</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sets forth the cash flows of the VIE and subsidiaries of the VIE included in the Group’s consolidated statements of cash flows:</w:t>
      </w:r>
    </w:p>
    <w:p>
      <w:pPr>
        <w:spacing w:after="0" w:line="244"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6350</wp:posOffset>
            </wp:positionV>
            <wp:extent cx="193738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ind w:left="7700"/>
        <w:spacing w:after="0"/>
        <w:tabs>
          <w:tab w:leader="none" w:pos="8500" w:val="left"/>
          <w:tab w:leader="none" w:pos="97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-3175</wp:posOffset>
            </wp:positionV>
            <wp:extent cx="19373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ind w:left="7680"/>
        <w:spacing w:after="0"/>
        <w:tabs>
          <w:tab w:leader="none" w:pos="8480" w:val="left"/>
          <w:tab w:leader="none" w:pos="9320" w:val="left"/>
          <w:tab w:leader="none" w:pos="1016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2"/>
          <w:szCs w:val="12"/>
          <w:b w:val="1"/>
          <w:bCs w:val="1"/>
          <w:color w:val="auto"/>
        </w:rPr>
        <w:t>US$</w:t>
      </w:r>
    </w:p>
    <w:p>
      <w:pPr>
        <w:spacing w:after="0" w:line="10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generated from operating activities</w:t>
            </w:r>
          </w:p>
        </w:tc>
        <w:tc>
          <w:tcPr>
            <w:tcW w:w="2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(44,153)</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(4,993)</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158,563</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24,301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(7,908)</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(56,052)</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(9,795)</w:t>
            </w:r>
          </w:p>
        </w:tc>
        <w:tc>
          <w:tcPr>
            <w:tcW w:w="700" w:type="dxa"/>
            <w:vAlign w:val="bottom"/>
          </w:tcPr>
          <w:p>
            <w:pPr>
              <w:jc w:val="right"/>
              <w:spacing w:after="0"/>
              <w:rPr>
                <w:sz w:val="20"/>
                <w:szCs w:val="20"/>
                <w:color w:val="auto"/>
              </w:rPr>
            </w:pPr>
            <w:r>
              <w:rPr>
                <w:rFonts w:ascii="Arial" w:cs="Arial" w:eastAsia="Arial" w:hAnsi="Arial"/>
                <w:sz w:val="18"/>
                <w:szCs w:val="18"/>
                <w:color w:val="auto"/>
              </w:rPr>
              <w:t>(1,501)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(used in) financing activities</w:t>
            </w:r>
          </w:p>
        </w:tc>
        <w:tc>
          <w:tcPr>
            <w:tcW w:w="2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79,261</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34,540</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(30,880)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r>
    </w:tbl>
    <w:p>
      <w:pPr>
        <w:spacing w:after="0" w:line="20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of December 31, 2019 and 2020, there were no pledges or collateralization of the assets of the VIE and the VIE’s subsidiaries. The amount of the net liabilities of the VIE and subsidiaries of VIE was RMB187,268 and RMB278,373 (US$42,662) as of December 31, 2019, and 2020, respectively. The creditors of the VIE and subsidiaries of the VIE’s third-party liabilities did not have recourse to the general credit of the primary beneficiary in the normal course of business. The VIE holds certain assets, including detection equipment and related equipment for use in their operations. The Company did not provide nor intend to provide additional financial or other support not previously contractually required to the VIE and subsidiaries of the VIE during the years presented.</w:t>
      </w:r>
    </w:p>
    <w:p>
      <w:pPr>
        <w:spacing w:after="0" w:line="337"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accompany consolidated financial statements have been prepared in accordance with United States generally accepted accounting principles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GAAP”).</w:t>
      </w:r>
    </w:p>
    <w:p>
      <w:pPr>
        <w:spacing w:after="0" w:line="211" w:lineRule="exact"/>
        <w:rPr>
          <w:sz w:val="20"/>
          <w:szCs w:val="20"/>
          <w:color w:val="auto"/>
        </w:rPr>
      </w:pPr>
    </w:p>
    <w:p>
      <w:pPr>
        <w:jc w:val="center"/>
        <w:ind w:right="240"/>
        <w:spacing w:after="0" w:line="449" w:lineRule="auto"/>
        <w:rPr>
          <w:sz w:val="20"/>
          <w:szCs w:val="20"/>
          <w:color w:val="auto"/>
        </w:rPr>
      </w:pPr>
      <w:r>
        <w:rPr>
          <w:rFonts w:ascii="Arial" w:cs="Arial" w:eastAsia="Arial" w:hAnsi="Arial"/>
          <w:sz w:val="18"/>
          <w:szCs w:val="18"/>
          <w:color w:val="auto"/>
        </w:rPr>
        <w:t>Certain prior year amounts in the consolidated statements of comprehensive loss have been reclassified to conform to the current year presentation. F-18</w:t>
      </w:r>
    </w:p>
    <w:p>
      <w:pPr>
        <w:sectPr>
          <w:pgSz w:w="11900" w:h="16838" w:orient="portrait"/>
          <w:cols w:equalWidth="0" w:num="1">
            <w:col w:w="11080"/>
          </w:cols>
          <w:pgMar w:left="32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consolidated financial statements of the Group include the financial statements of the Company, its subsidiaries, the VIE and the VIE’s subsidiaries for which the Company is the primary beneficiary of the VIE. All significant intercompany balances and transactions have been eliminated upon consolidation.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disclosures of contingent assets and liabilities at the balance sheet dates and the reported amounts of revenue and expenses during the reporting periods. Significant estimates and assumptions reflected in the Group’s consolidated financial statements include, but are not limited to, allowance for doubtful accounts for accounts receivable and contract assets, inventory provision, standalone selling prices of performance obligations, the useful lives and impairment of long-lived assets, the fair value of share-based awards, the fair value of warrant liability and breakage income. Management bases the estimates on historical experience and various other assumptions that are believed to be reasonable, the results of which form the basis for making judgments about the carrying values of assets and liabilities. Actual results could materially differ from those estimates.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 xml:space="preserve">The functional currency of the Company and BR Hong Kong Limited is US$. The functional currency of the Company’s PRC subsidiaries, the VIE and the VIE’s subsidiaries is RMB. The determination of the respective functional currency is based on the criteria stated in ASC 830, </w:t>
      </w:r>
      <w:r>
        <w:rPr>
          <w:rFonts w:ascii="Arial" w:cs="Arial" w:eastAsia="Arial" w:hAnsi="Arial"/>
          <w:sz w:val="18"/>
          <w:szCs w:val="18"/>
          <w:i w:val="1"/>
          <w:iCs w:val="1"/>
          <w:color w:val="auto"/>
        </w:rPr>
        <w:t>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Matters</w:t>
      </w:r>
      <w:r>
        <w:rPr>
          <w:rFonts w:ascii="Arial" w:cs="Arial" w:eastAsia="Arial" w:hAnsi="Arial"/>
          <w:sz w:val="18"/>
          <w:szCs w:val="18"/>
          <w:color w:val="auto"/>
        </w:rPr>
        <w:t>. The Company uses RMB as its reporting currency. The financial statements of the Company and the Company’s subsidiary outside PRC are</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translated from the functional currency to the reporting currency.</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Transactions denominated in foreign currencies are remeasured into the functional currency at the exchange rates quoted by the People’s Bank of China (the “PBOC”) prevailing on the transaction dates. Monetary assets and liabilities denominated in foreign currencies are re-measured at the exchange rates prevailing at the balance sheet date. Non-monetary items that are measured in terms of historical costs in foreign currency are re-measured using the exchange rates at the dates of the initial transactions. Exchange gains and losses are included in the consolidated statements of comprehensive loss.</w:t>
      </w:r>
    </w:p>
    <w:p>
      <w:pPr>
        <w:spacing w:after="0" w:line="15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Assets and liabilities are translated at the exchange rates at the balance sheet date, equity accounts are translated at historical exchange rates and revenues, expenses, gains and losses are translated using the average rate for the year. Translation adjustments are reported as accumulated comprehensive (loss) income and are shown as a separate component of other comprehensive loss in the consolidated statements of comprehensive loss.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Convenience translation</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Translations of amounts from RMB into US$ for the convenience of the reader have been calculated at the exchange rate of RMB6.5250 per US$1.00 on December 31, 2020, as published on the website of the United States Federal Reserve Board. No representation is made that the RMB amounts could have been, or could be, converted, realized or settled into US$ at such rate or at any other rate.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Cash and cash equivalents primarily consist of cash and demand deposits which are highly liquid. The Group considers highly liquid investments that are readily convertible to known amounts of cash and with original maturities from the date of purchase of three months or less to be cash equivalents. All cash and cash equivalents are unrestricted as to withdrawal and use.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Restricted cash primarily represent deposits restricted in designated bank accounts for specific uses in relation to certain government grants received.</w:t>
      </w:r>
    </w:p>
    <w:p>
      <w:pPr>
        <w:spacing w:after="0" w:line="24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 xml:space="preserve">In November 2016, the FASB issued Accounting Standard Update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entities to present the aggregate changes in cash, cash equivalents, restricted cash and restricted cash equivalents in the statement of cash flows. As a result, the statement of cash flows will be required to present restricted cash and restricted cash equivalents as a part of the beginning and ending balances of cash and cash equivalents. The Group early adopted the updated guidance retrospectively and presented restricted cash within the ending cash, cash equivalents and restricted cash balance on the Group’s consolidated statements of cash flows for the years ended December 31, 2018, 2019 and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Accounts receivable are carried at net realizable value. The Group records allowance for doubtful accounts in the period when collection is no longer probable. The Group considers specific evidence when evaluating the collectability of accounts receivables, including the aging of the receivable, customer payment history, customer’s credit worthiness and other factors. Accounts receivable are written off when management determines a balance is uncollectable after all collection efforts have ceased.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All highly liquid investments with maturities of greater than three months, but less than twelve months, are classified as short-term investments. Short-term investments held by the Group represented time deposits of remaining maturities of greater than three months but less than twelve months.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The Group applies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820 defines fair value, establishes a framework for measuring fair value and expands disclosures about fair value measurements. ASC 820 requires disclosures to be provided for fair value measurements. ASC 820 establishes a three-tier fair value hierarchy, which prioritizes the inputs used in measuring fair value as follows: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2 - Include other inputs that are directly or indirectly observable in the marketplace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3 - Unobservable inputs which are supported by little or no market activity</w:t>
      </w:r>
    </w:p>
    <w:p>
      <w:pPr>
        <w:spacing w:after="0" w:line="22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88"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carrying amounts of cash and cash equivalent, restricted cash, short-term investments, accounts receivable, amounts due from and due to related parties, accounts payable and short-term borrowings approximate their fair values because of their generally short maturities. The carrying amounts of long-term borrowings and long-term investment approximate their fair values since they bear interest at rates which approximate market interest rates.</w:t>
      </w:r>
    </w:p>
    <w:p>
      <w:pPr>
        <w:spacing w:after="0" w:line="149" w:lineRule="exact"/>
        <w:rPr>
          <w:sz w:val="20"/>
          <w:szCs w:val="20"/>
          <w:color w:val="auto"/>
        </w:rPr>
      </w:pPr>
    </w:p>
    <w:p>
      <w:pPr>
        <w:jc w:val="both"/>
        <w:ind w:left="120" w:right="480"/>
        <w:spacing w:after="0" w:line="275" w:lineRule="auto"/>
        <w:rPr>
          <w:sz w:val="20"/>
          <w:szCs w:val="20"/>
          <w:color w:val="auto"/>
        </w:rPr>
      </w:pPr>
      <w:r>
        <w:rPr>
          <w:rFonts w:ascii="Arial" w:cs="Arial" w:eastAsia="Arial" w:hAnsi="Arial"/>
          <w:sz w:val="17"/>
          <w:szCs w:val="17"/>
          <w:color w:val="auto"/>
        </w:rPr>
        <w:t>On January 22, 2020, the holder of the Series C convertible redeemable preferred shares warrants (the “Series C Warrant”) exercised its Series C Warrant and purchased 1,064,950 Series C convertible redeemable preferred shares (Note 12). The Group recognized a gain from the decrease in warrant fair value of RMB3,503 (US$537) for the year ended December 31, 2020. The Group recognized a loss from the increase in fair value of RMB2,839 for the year ended December 31, 2019. The Group records fair value change of the warrant as a component of non-operating income (expense) in the consolidated statement of comprehensive loss.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measured the fair value of its warrant liability on a recurring basis using significant unobservable (Level 3) inputs as of December 31,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valuation technique, inputs and corresponding impact to the fair value are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Financial instrument</w:t>
            </w:r>
          </w:p>
        </w:tc>
        <w:tc>
          <w:tcPr>
            <w:tcW w:w="2180" w:type="dxa"/>
            <w:vAlign w:val="bottom"/>
          </w:tcPr>
          <w:p>
            <w:pPr>
              <w:spacing w:after="0"/>
              <w:rPr>
                <w:sz w:val="16"/>
                <w:szCs w:val="16"/>
                <w:color w:val="auto"/>
              </w:rPr>
            </w:pPr>
          </w:p>
        </w:tc>
        <w:tc>
          <w:tcPr>
            <w:tcW w:w="2900" w:type="dxa"/>
            <w:vAlign w:val="bottom"/>
            <w:gridSpan w:val="2"/>
          </w:tcPr>
          <w:p>
            <w:pPr>
              <w:jc w:val="right"/>
              <w:ind w:right="280"/>
              <w:spacing w:after="0"/>
              <w:rPr>
                <w:sz w:val="20"/>
                <w:szCs w:val="20"/>
                <w:color w:val="auto"/>
              </w:rPr>
            </w:pPr>
            <w:r>
              <w:rPr>
                <w:rFonts w:ascii="Arial" w:cs="Arial" w:eastAsia="Arial" w:hAnsi="Arial"/>
                <w:sz w:val="14"/>
                <w:szCs w:val="14"/>
                <w:color w:val="auto"/>
              </w:rPr>
              <w:t>Valuation technique</w:t>
            </w:r>
          </w:p>
        </w:tc>
        <w:tc>
          <w:tcPr>
            <w:tcW w:w="2940" w:type="dxa"/>
            <w:vAlign w:val="bottom"/>
            <w:gridSpan w:val="2"/>
          </w:tcPr>
          <w:p>
            <w:pPr>
              <w:jc w:val="right"/>
              <w:ind w:right="280"/>
              <w:spacing w:after="0"/>
              <w:rPr>
                <w:sz w:val="20"/>
                <w:szCs w:val="20"/>
                <w:color w:val="auto"/>
              </w:rPr>
            </w:pPr>
            <w:r>
              <w:rPr>
                <w:rFonts w:ascii="Arial" w:cs="Arial" w:eastAsia="Arial" w:hAnsi="Arial"/>
                <w:sz w:val="14"/>
                <w:szCs w:val="14"/>
                <w:color w:val="auto"/>
              </w:rPr>
              <w:t>Unobservable input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Estimation</w:t>
            </w:r>
          </w:p>
        </w:tc>
      </w:tr>
      <w:tr>
        <w:trPr>
          <w:trHeight w:val="189"/>
        </w:trPr>
        <w:tc>
          <w:tcPr>
            <w:tcW w:w="11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4"/>
              </w:rPr>
              <w:t>Warrant liability</w:t>
            </w:r>
          </w:p>
        </w:tc>
        <w:tc>
          <w:tcPr>
            <w:tcW w:w="218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Volatility for Black-Scholes option</w:t>
            </w:r>
          </w:p>
        </w:tc>
        <w:tc>
          <w:tcPr>
            <w:tcW w:w="2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30"/>
        </w:trPr>
        <w:tc>
          <w:tcPr>
            <w:tcW w:w="118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Black-Scholes option pricing model</w:t>
            </w:r>
          </w:p>
        </w:tc>
        <w:tc>
          <w:tcPr>
            <w:tcW w:w="2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pricing model</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02"/>
        </w:trPr>
        <w:tc>
          <w:tcPr>
            <w:tcW w:w="11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Market value of the underlying</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1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2"/>
          </w:tcPr>
          <w:p>
            <w:pPr>
              <w:jc w:val="right"/>
              <w:ind w:right="280"/>
              <w:spacing w:after="0"/>
              <w:rPr>
                <w:sz w:val="20"/>
                <w:szCs w:val="20"/>
                <w:color w:val="auto"/>
              </w:rPr>
            </w:pPr>
            <w:r>
              <w:rPr>
                <w:rFonts w:ascii="Arial" w:cs="Arial" w:eastAsia="Arial" w:hAnsi="Arial"/>
                <w:sz w:val="18"/>
                <w:szCs w:val="18"/>
                <w:color w:val="auto"/>
              </w:rPr>
              <w:t>Series C Preferred Shares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US$12.08</w:t>
            </w:r>
          </w:p>
        </w:tc>
      </w:tr>
      <w:tr>
        <w:trPr>
          <w:trHeight w:val="365"/>
        </w:trPr>
        <w:tc>
          <w:tcPr>
            <w:tcW w:w="1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900" w:type="dxa"/>
            <w:vAlign w:val="bottom"/>
            <w:gridSpan w:val="2"/>
          </w:tcPr>
          <w:p>
            <w:pPr>
              <w:jc w:val="right"/>
              <w:ind w:right="1020"/>
              <w:spacing w:after="0"/>
              <w:rPr>
                <w:sz w:val="20"/>
                <w:szCs w:val="20"/>
                <w:color w:val="auto"/>
              </w:rPr>
            </w:pPr>
            <w:r>
              <w:rPr>
                <w:rFonts w:ascii="Arial" w:cs="Arial" w:eastAsia="Arial" w:hAnsi="Arial"/>
                <w:sz w:val="18"/>
                <w:szCs w:val="18"/>
                <w:color w:val="auto"/>
              </w:rPr>
              <w:t>F-21</w:t>
            </w: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Fair value measurements </w:t>
      </w:r>
      <w:r>
        <w:rPr>
          <w:rFonts w:ascii="Arial" w:cs="Arial" w:eastAsia="Arial" w:hAnsi="Arial"/>
          <w:sz w:val="18"/>
          <w:szCs w:val="18"/>
          <w:b w:val="1"/>
          <w:bCs w:val="1"/>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a reconciliation of all financial instruments measured at fair value on a recurring basis using Level 3 unobservable inputs:</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Fair value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Foreign exchange translation</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Exercise of Series C Warrant (Note 12)</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43" w:lineRule="exact"/>
        <w:rPr>
          <w:sz w:val="20"/>
          <w:szCs w:val="20"/>
          <w:color w:val="auto"/>
        </w:rPr>
      </w:pPr>
    </w:p>
    <w:p>
      <w:pPr>
        <w:ind w:left="2060" w:right="160" w:hanging="179"/>
        <w:spacing w:after="0" w:line="258" w:lineRule="auto"/>
        <w:rPr>
          <w:sz w:val="20"/>
          <w:szCs w:val="20"/>
          <w:color w:val="auto"/>
        </w:rPr>
      </w:pPr>
      <w:r>
        <w:rPr>
          <w:rFonts w:ascii="Arial" w:cs="Arial" w:eastAsia="Arial" w:hAnsi="Arial"/>
          <w:sz w:val="18"/>
          <w:szCs w:val="18"/>
          <w:color w:val="auto"/>
        </w:rPr>
        <w:t>The amount of total gain for the year ended December 31, 2020 included in losses (RMB)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wp:posOffset>
            </wp:positionV>
            <wp:extent cx="4749165" cy="274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2060" w:right="160" w:hanging="179"/>
        <w:spacing w:after="0" w:line="260" w:lineRule="auto"/>
        <w:rPr>
          <w:sz w:val="20"/>
          <w:szCs w:val="20"/>
          <w:color w:val="auto"/>
        </w:rPr>
      </w:pPr>
      <w:r>
        <w:rPr>
          <w:rFonts w:ascii="Arial" w:cs="Arial" w:eastAsia="Arial" w:hAnsi="Arial"/>
          <w:sz w:val="18"/>
          <w:szCs w:val="18"/>
          <w:color w:val="auto"/>
        </w:rPr>
        <w:t>The amount of total gain for the year ended December 31, 2020 included in losses (US$)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1860"/>
        <w:spacing w:after="0"/>
        <w:rPr>
          <w:sz w:val="20"/>
          <w:szCs w:val="20"/>
          <w:color w:val="auto"/>
        </w:rPr>
      </w:pPr>
      <w:r>
        <w:rPr>
          <w:rFonts w:ascii="Arial" w:cs="Arial" w:eastAsia="Arial" w:hAnsi="Arial"/>
          <w:sz w:val="14"/>
          <w:szCs w:val="14"/>
          <w:b w:val="1"/>
          <w:bCs w:val="1"/>
          <w:u w:val="single" w:color="auto"/>
          <w:color w:val="auto"/>
        </w:rPr>
        <w:t>Warrant liability</w:t>
      </w:r>
    </w:p>
    <w:p>
      <w:pPr>
        <w:spacing w:after="0" w:line="13" w:lineRule="exact"/>
        <w:rPr>
          <w:sz w:val="20"/>
          <w:szCs w:val="20"/>
          <w:color w:val="auto"/>
        </w:rPr>
      </w:pPr>
    </w:p>
    <w:p>
      <w:pPr>
        <w:jc w:val="center"/>
        <w:ind w:right="1860"/>
        <w:spacing w:after="0"/>
        <w:rPr>
          <w:sz w:val="20"/>
          <w:szCs w:val="20"/>
          <w:color w:val="auto"/>
        </w:rPr>
      </w:pPr>
      <w:r>
        <w:rPr>
          <w:rFonts w:ascii="Arial" w:cs="Arial" w:eastAsia="Arial" w:hAnsi="Arial"/>
          <w:sz w:val="14"/>
          <w:szCs w:val="14"/>
          <w:b w:val="1"/>
          <w:bCs w:val="1"/>
          <w:color w:val="auto"/>
        </w:rPr>
        <w:t>RMB</w:t>
      </w:r>
    </w:p>
    <w:p>
      <w:pPr>
        <w:jc w:val="right"/>
        <w:ind w:right="1860"/>
        <w:spacing w:after="0"/>
        <w:rPr>
          <w:sz w:val="20"/>
          <w:szCs w:val="20"/>
          <w:color w:val="auto"/>
        </w:rPr>
      </w:pPr>
      <w:r>
        <w:rPr>
          <w:rFonts w:ascii="Arial" w:cs="Arial" w:eastAsia="Arial" w:hAnsi="Arial"/>
          <w:sz w:val="18"/>
          <w:szCs w:val="18"/>
          <w:color w:val="auto"/>
        </w:rPr>
        <w:t>23,503</w:t>
      </w:r>
    </w:p>
    <w:p>
      <w:pPr>
        <w:spacing w:after="0" w:line="7"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(3,503)</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(260)</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(19,740)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6686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6686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31750</wp:posOffset>
            </wp:positionV>
            <wp:extent cx="6686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5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3,503</w:t>
      </w:r>
    </w:p>
    <w:p>
      <w:pPr>
        <w:spacing w:after="0" w:line="225"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537</w:t>
      </w:r>
    </w:p>
    <w:p>
      <w:pPr>
        <w:spacing w:after="0" w:line="224" w:lineRule="exact"/>
        <w:rPr>
          <w:sz w:val="20"/>
          <w:szCs w:val="20"/>
          <w:color w:val="auto"/>
        </w:rPr>
      </w:pPr>
    </w:p>
    <w:p>
      <w:pPr>
        <w:sectPr>
          <w:pgSz w:w="11900" w:h="16838" w:orient="portrait"/>
          <w:cols w:equalWidth="0" w:num="2">
            <w:col w:w="7480" w:space="720"/>
            <w:col w:w="2920"/>
          </w:cols>
          <w:pgMar w:left="320" w:top="459" w:right="459" w:bottom="1440" w:gutter="0" w:footer="0" w:header="0"/>
          <w:type w:val="continuous"/>
        </w:sectPr>
      </w:pPr>
    </w:p>
    <w:p>
      <w:pPr>
        <w:ind w:left="120" w:right="120"/>
        <w:spacing w:after="0" w:line="263" w:lineRule="auto"/>
        <w:rPr>
          <w:sz w:val="20"/>
          <w:szCs w:val="20"/>
          <w:color w:val="auto"/>
        </w:rPr>
      </w:pPr>
      <w:r>
        <w:rPr>
          <w:rFonts w:ascii="Arial" w:cs="Arial" w:eastAsia="Arial" w:hAnsi="Arial"/>
          <w:sz w:val="18"/>
          <w:szCs w:val="18"/>
          <w:color w:val="auto"/>
        </w:rPr>
        <w:t>The Group did not transfer any assets or liabilities in or out of Level 3 during the years ended December 31, 2019 and 2020. As of December 31, 2020, there were no warrants outstanding. Therefore, there was no asset or liability measured at fair value using Level 3 unobservable inputs on a recurring basis as of December 31,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had no financial assets and liabilities measured and recorded at fair value on a non-recurring basis as of December 31, 2019 and 2020.</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left="120" w:right="680"/>
        <w:spacing w:after="0" w:line="311" w:lineRule="auto"/>
        <w:rPr>
          <w:sz w:val="20"/>
          <w:szCs w:val="20"/>
          <w:color w:val="auto"/>
        </w:rPr>
      </w:pPr>
      <w:r>
        <w:rPr>
          <w:rFonts w:ascii="Arial" w:cs="Arial" w:eastAsia="Arial" w:hAnsi="Arial"/>
          <w:sz w:val="16"/>
          <w:szCs w:val="16"/>
          <w:color w:val="auto"/>
        </w:rPr>
        <w:t>Inventories consist of raw materials, work in progress and finished goods which are stated at the lower of cost and net realizable value. Cost is determined using the weighted average method. Adjustments to reduce the cost of inventory to its net realizable value are made, if required, for decreases in sales price, obsolescence, or similar reductions in the estimated net realizable value, and recorded in cost of sales.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Equity method investments represent investments in entities in which the Group can exercise significant influence but does not own a majority equity interest or control and are accounted for using the equity method of accounting in accordance with ASC Subtopic 323-10, </w:t>
      </w:r>
      <w:r>
        <w:rPr>
          <w:rFonts w:ascii="Arial" w:cs="Arial" w:eastAsia="Arial" w:hAnsi="Arial"/>
          <w:sz w:val="18"/>
          <w:szCs w:val="18"/>
          <w:i w:val="1"/>
          <w:iCs w:val="1"/>
          <w:color w:val="auto"/>
        </w:rPr>
        <w:t>Investments-Equity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and Joint Ventures: Overall</w:t>
      </w:r>
      <w:r>
        <w:rPr>
          <w:rFonts w:ascii="Arial" w:cs="Arial" w:eastAsia="Arial" w:hAnsi="Arial"/>
          <w:sz w:val="18"/>
          <w:szCs w:val="18"/>
          <w:color w:val="auto"/>
        </w:rPr>
        <w:t>. Under the equity method, the Group initially records its investment at cost and prospectively recognizes its proportionate</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each equity investee’s net profit or loss into its consolidated statements of operations. The difference between the cost of the equity investee and the amount of the underlying equity in the net assets of the equity investee is recognized as equity method goodwill included in equity method investments on the consolidated balance sheets. The Group evaluates its equity method investments for impairment under ASC 323-10. An impairment loss on the equity method investments is recognized in the consolidated statements of comprehensive loss when the decline in value is determined to be other-than-temporary.</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Equity method investment </w:t>
      </w:r>
      <w:r>
        <w:rPr>
          <w:rFonts w:ascii="Arial" w:cs="Arial" w:eastAsia="Arial" w:hAnsi="Arial"/>
          <w:sz w:val="18"/>
          <w:szCs w:val="18"/>
          <w:b w:val="1"/>
          <w:bCs w:val="1"/>
          <w:color w:val="auto"/>
        </w:rPr>
        <w:t>(continued)</w:t>
      </w:r>
    </w:p>
    <w:p>
      <w:pPr>
        <w:spacing w:after="0" w:line="162"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January 2017, the Group acquired for 20.29% equity interest in EaSuMed Holding Ltd. of an amount of US$363. In October 2020, additional shares were allotted to the Group from EaSuMed Holding Ltd. and therefore the Group held a 21.04% equity interest in EaSuMed Holding Ltd. as of December 31, 2020. The Group exercised significant influence over the investee with its one seat on the board of directors and accounted for its investment under the equity method. The Group recognized losses from equity method investment of RMB422, RMB230 and RMB275 (US$42) for the years ended December 31, 2018, 2019 and 2020, respectively. No impairment loss was recognized for the years presented.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as follows:</w:t>
      </w:r>
    </w:p>
    <w:p>
      <w:pPr>
        <w:sectPr>
          <w:pgSz w:w="11900" w:h="16838" w:orient="portrait"/>
          <w:cols w:equalWidth="0" w:num="1">
            <w:col w:w="11100"/>
          </w:cols>
          <w:pgMar w:left="320" w:top="459" w:right="479" w:bottom="1440" w:gutter="0" w:footer="0" w:header="0"/>
        </w:sectPr>
      </w:pPr>
    </w:p>
    <w:p>
      <w:pPr>
        <w:spacing w:after="0" w:line="189" w:lineRule="exact"/>
        <w:rPr>
          <w:sz w:val="20"/>
          <w:szCs w:val="20"/>
          <w:color w:val="auto"/>
        </w:rPr>
      </w:pPr>
    </w:p>
    <w:p>
      <w:pPr>
        <w:ind w:left="1440"/>
        <w:spacing w:after="0"/>
        <w:rPr>
          <w:sz w:val="20"/>
          <w:szCs w:val="20"/>
          <w:color w:val="auto"/>
        </w:rPr>
      </w:pPr>
      <w:r>
        <w:rPr>
          <w:rFonts w:ascii="Arial" w:cs="Arial" w:eastAsia="Arial" w:hAnsi="Arial"/>
          <w:sz w:val="12"/>
          <w:szCs w:val="12"/>
          <w:b w:val="1"/>
          <w:bCs w:val="1"/>
          <w:color w:val="auto"/>
        </w:rPr>
        <w:t>Category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3800"/>
        <w:spacing w:after="0"/>
        <w:rPr>
          <w:sz w:val="20"/>
          <w:szCs w:val="20"/>
          <w:color w:val="auto"/>
        </w:rPr>
      </w:pPr>
      <w:r>
        <w:rPr>
          <w:rFonts w:ascii="Arial" w:cs="Arial" w:eastAsia="Arial" w:hAnsi="Arial"/>
          <w:sz w:val="13"/>
          <w:szCs w:val="13"/>
          <w:b w:val="1"/>
          <w:bCs w:val="1"/>
          <w:color w:val="auto"/>
        </w:rPr>
        <w:t>Estimated Useful Life</w:t>
      </w:r>
    </w:p>
    <w:p>
      <w:pPr>
        <w:spacing w:after="0" w:line="31" w:lineRule="exact"/>
        <w:rPr>
          <w:sz w:val="20"/>
          <w:szCs w:val="20"/>
          <w:color w:val="auto"/>
        </w:rPr>
      </w:pPr>
    </w:p>
    <w:p>
      <w:pPr>
        <w:sectPr>
          <w:pgSz w:w="11900" w:h="16838" w:orient="portrait"/>
          <w:cols w:equalWidth="0" w:num="2">
            <w:col w:w="5240" w:space="720"/>
            <w:col w:w="5140"/>
          </w:cols>
          <w:pgMar w:left="320" w:top="459" w:right="479" w:bottom="1440" w:gutter="0" w:footer="0" w:header="0"/>
          <w:type w:val="continuous"/>
        </w:sectPr>
      </w:pPr>
    </w:p>
    <w:p>
      <w:pPr>
        <w:spacing w:after="0" w:line="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Machinery and laboratory equipment</w:t>
      </w:r>
    </w:p>
    <w:p>
      <w:pPr>
        <w:spacing w:after="0" w:line="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Vehicles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Furniture and tools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Electronic equipment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 years</w:t>
      </w:r>
    </w:p>
    <w:p>
      <w:pPr>
        <w:spacing w:after="0"/>
        <w:rPr>
          <w:sz w:val="20"/>
          <w:szCs w:val="20"/>
          <w:color w:val="auto"/>
        </w:rPr>
      </w:pPr>
      <w:r>
        <w:rPr>
          <w:rFonts w:ascii="Arial" w:cs="Arial" w:eastAsia="Arial" w:hAnsi="Arial"/>
          <w:sz w:val="18"/>
          <w:szCs w:val="18"/>
          <w:color w:val="auto"/>
        </w:rPr>
        <w:t>6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lease terms or estimated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useful lives of the assets</w:t>
      </w:r>
    </w:p>
    <w:p>
      <w:pPr>
        <w:spacing w:after="0" w:line="200" w:lineRule="exact"/>
        <w:rPr>
          <w:sz w:val="20"/>
          <w:szCs w:val="20"/>
          <w:color w:val="auto"/>
        </w:rPr>
      </w:pPr>
    </w:p>
    <w:p>
      <w:pPr>
        <w:sectPr>
          <w:pgSz w:w="11900" w:h="16838" w:orient="portrait"/>
          <w:cols w:equalWidth="0" w:num="2">
            <w:col w:w="5240" w:space="720"/>
            <w:col w:w="5140"/>
          </w:cols>
          <w:pgMar w:left="320" w:top="459" w:right="479" w:bottom="1440" w:gutter="0" w:footer="0" w:header="0"/>
          <w:type w:val="continuous"/>
        </w:sectPr>
      </w:pPr>
    </w:p>
    <w:p>
      <w:pPr>
        <w:spacing w:after="0" w:line="2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Repair and maintenance costs are charged to expense as incurred, whereas the cost of renewals and betterments that extend the useful lives of property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comprehensive loss.</w:t>
      </w:r>
    </w:p>
    <w:p>
      <w:pPr>
        <w:spacing w:after="0" w:line="18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Direct costs that are related to the construction of property and equipment, and incurred in connection with bringing the assets to their intended use are capitalized as construction in progress. Construction in progress is transferred to specific property and equipment, and the depreciation of these assets commences when the assets are ready for their intended use.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Intangible assets are carried at cost less accumulated amortization and any recorded impairment. Intangible assets with finite useful lives are amortized using a straight-line method of amortization that reflects the estimated pattern in which the economic benefits of the intangible asset are to be consumed. The estimated useful life for the intangible assets is as follows:</w:t>
      </w:r>
    </w:p>
    <w:p>
      <w:pPr>
        <w:sectPr>
          <w:pgSz w:w="11900" w:h="16838" w:orient="portrait"/>
          <w:cols w:equalWidth="0" w:num="1">
            <w:col w:w="11100"/>
          </w:cols>
          <w:pgMar w:left="320" w:top="459" w:right="479" w:bottom="1440" w:gutter="0" w:footer="0" w:header="0"/>
          <w:type w:val="continuous"/>
        </w:sectPr>
      </w:pPr>
    </w:p>
    <w:p>
      <w:pPr>
        <w:spacing w:after="0" w:line="202" w:lineRule="exact"/>
        <w:rPr>
          <w:sz w:val="20"/>
          <w:szCs w:val="20"/>
          <w:color w:val="auto"/>
        </w:rPr>
      </w:pPr>
    </w:p>
    <w:p>
      <w:pPr>
        <w:ind w:left="1440"/>
        <w:spacing w:after="0"/>
        <w:rPr>
          <w:sz w:val="20"/>
          <w:szCs w:val="20"/>
          <w:color w:val="auto"/>
        </w:rPr>
      </w:pPr>
      <w:r>
        <w:rPr>
          <w:rFonts w:ascii="Arial" w:cs="Arial" w:eastAsia="Arial" w:hAnsi="Arial"/>
          <w:sz w:val="12"/>
          <w:szCs w:val="12"/>
          <w:b w:val="1"/>
          <w:bCs w:val="1"/>
          <w:color w:val="auto"/>
        </w:rPr>
        <w:t>Category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3800"/>
        <w:spacing w:after="0"/>
        <w:rPr>
          <w:sz w:val="20"/>
          <w:szCs w:val="20"/>
          <w:color w:val="auto"/>
        </w:rPr>
      </w:pPr>
      <w:r>
        <w:rPr>
          <w:rFonts w:ascii="Arial" w:cs="Arial" w:eastAsia="Arial" w:hAnsi="Arial"/>
          <w:sz w:val="13"/>
          <w:szCs w:val="13"/>
          <w:b w:val="1"/>
          <w:bCs w:val="1"/>
          <w:color w:val="auto"/>
        </w:rPr>
        <w:t>Estimated Useful Life</w:t>
      </w:r>
    </w:p>
    <w:p>
      <w:pPr>
        <w:spacing w:after="0" w:line="37" w:lineRule="exact"/>
        <w:rPr>
          <w:sz w:val="20"/>
          <w:szCs w:val="20"/>
          <w:color w:val="auto"/>
        </w:rPr>
      </w:pPr>
    </w:p>
    <w:p>
      <w:pPr>
        <w:sectPr>
          <w:pgSz w:w="11900" w:h="16838" w:orient="portrait"/>
          <w:cols w:equalWidth="0" w:num="2">
            <w:col w:w="5240" w:space="720"/>
            <w:col w:w="5140"/>
          </w:cols>
          <w:pgMar w:left="320" w:top="459" w:right="479" w:bottom="1440" w:gutter="0" w:footer="0" w:header="0"/>
          <w:type w:val="continuous"/>
        </w:sectPr>
      </w:pPr>
    </w:p>
    <w:p>
      <w:pPr>
        <w:ind w:left="1440"/>
        <w:spacing w:after="0"/>
        <w:rPr>
          <w:sz w:val="20"/>
          <w:szCs w:val="20"/>
          <w:color w:val="auto"/>
        </w:rPr>
      </w:pPr>
      <w:r>
        <w:rPr>
          <w:rFonts w:ascii="Arial" w:cs="Arial" w:eastAsia="Arial" w:hAnsi="Arial"/>
          <w:sz w:val="16"/>
          <w:szCs w:val="16"/>
          <w:color w:val="auto"/>
        </w:rPr>
        <w:t>Computer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 years</w:t>
      </w:r>
    </w:p>
    <w:p>
      <w:pPr>
        <w:spacing w:after="0" w:line="211" w:lineRule="exact"/>
        <w:rPr>
          <w:sz w:val="20"/>
          <w:szCs w:val="20"/>
          <w:color w:val="auto"/>
        </w:rPr>
      </w:pPr>
    </w:p>
    <w:p>
      <w:pPr>
        <w:sectPr>
          <w:pgSz w:w="11900" w:h="16838" w:orient="portrait"/>
          <w:cols w:equalWidth="0" w:num="2">
            <w:col w:w="5240" w:space="720"/>
            <w:col w:w="5140"/>
          </w:cols>
          <w:pgMar w:left="320" w:top="459" w:right="479" w:bottom="1440" w:gutter="0" w:footer="0" w:header="0"/>
          <w:type w:val="continuous"/>
        </w:sectPr>
      </w:pP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does not have any indefinite-lived intangible assets.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100"/>
          </w:cols>
          <w:pgMar w:left="320" w:top="459" w:right="47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Group evaluates the recoverability of its long-lived assets, including fixed assets and intangible assets with finite lives, for impairment whenever events or changes in circumstances indicate that the carrying amount of an asset may not be fully recoverable. When these events occur, the Group measures impairment by comparing the carrying amount of the assets to the estimated undiscounted future cash flows expected to result from the use of the assets and their eventual disposition. If the sum of the expected undiscounted cash flows is less than the carrying amount of the assets, the Group recognizes an impairment loss based on the excess of the carrying amount of the assets over their fair value. Fair value is generally determined by discounting the cash flows expected to be generated by the assets, when the market prices are not readily available. The adjusted carrying amount of the assets is the new cost basis and is depreciated over the assets’ remaining useful lives. Long-lived assets are grouped with other assets and liabilities at the lowest level for which identifiable cash flows are largely independent of the cash flows of other assets and liabilities.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impairment loss was recorded for the years ended December 31, 2018, 2019 and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 xml:space="preserve">In accordance with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The Group’s chief operating decision maker (“CODM”) has been identified as the Chief Executive Officer. The Group’s CODM evaluates segment performance based on revenues and gross profit by the operating segments of central laboratory business, in-hospital business and pharma research and development services. Substantially all of the Group’s revenues are derived from within the PRC.</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60"/>
          </w:cols>
          <w:pgMar w:left="320" w:top="459" w:right="5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Group derives revenues from its central laboratory business, in-hospital business and pharma research and development services. The Group recognizes revenue to depict the transfer of promised products or services to customers in an amount that reflects the consideration to which the entity expects to be entitled in exchange for those products or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from central laboratory business</w:t>
      </w:r>
    </w:p>
    <w:p>
      <w:pPr>
        <w:spacing w:after="0" w:line="11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Revenue from central laboratory business is primarily generated through the sales of the Group’s cancer therapy selection test, to individual patient customers. The individual patient prepays the consideration in full and the transaction price for each contract is fixed at contract inception. The patient can choose to purchase a single cancer therapy selection test or a package which consists of multiple cancer therapy selection tests of the same type or a combination of different types of cancer therapy selection tests. Each cancer therapy selection test represents a single performance obligation. Revenue is allocated to each performance obligation based on the relative standalone selling price method. The Group records revenue at a point in time, when each cancer therapy selection testing report is delivered to the patient.</w:t>
      </w:r>
    </w:p>
    <w:p>
      <w:pPr>
        <w:spacing w:after="0" w:line="17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group launched cancer therapy selection testing packages (“Monitoring Packages”) in 2017. Each monitoring package contain a fixed number of the same type cancer therapy selection test which can be used up to two years from purchase date. Based on historical usage rates, a portion of the cancer therapy selection tests within the Monitoring Packages are not expected to be used by the patient prior to expiration, referred to as a “breakage”. The Group recognizes the expected breakage amount as revenue in proportion to the total number of tests expected to be performed for patients prior to the expiration date. If the Group is not expected to be entitled to a breakage amount due to the lack of historical experience, the expected breakage amount is recognized as revenue at the end of the two year period when the monitoring package expires. The Group evaluates its breakage estimates periodically based upon its historical experience with each type of Monitoring Packages recent usage pattern prior to the expiration period. The historical usage rates may not be reflective of the actual usage rates due to changes in patient behavior and medical advancements. The determination of whether the Group has accumulated sufficient historical experience to determine breakage amount, and changes in the actual patients’ usage rates may significantly impact on the amount of breakage revenue recognized for the period. The Group changed its estimates of the entitlement of breakage amount in 2019 as the Group concluded it has sufficient historical experience to estimate breakage. The Group recognized breakage income breakage income of nil, RMB14,723 and RMB11,900 (US$1,824) for the years ended December 31, 2018, 2019 and 2020, respectively.</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b w:val="1"/>
          <w:bCs w:val="1"/>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from in-hospital business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Revenue from in-hospital business is primarily generated through reagent kit sales and providing facilitation services for laboratory equipment sold to hospitals. The Group manufactures the reagent kits and sells to the hospitals when the hospitals submit a purchase order. Each reagent kit represents a single performance obligation. The Group does not provide rights of return for the reagent kits sold other than returns of defective products. Returns for defective products were not material for the periods presented. Revenue is allocated to each performance obligation based on a relative standalone selling price basis using the expected cost plus a margin method. The Group records revenue on the sales of reagent kits at a point in time when the reagent kits are delivered to the hospital.</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the facilitation services, the Group purchases the laboratory equipment from third-party suppliers when the hospital submits purchase request and resells the laboratory equipment to the hospital. The Group acts as an agent in facilitating laboratory equipment sales as it does not control the laboratory equipment prior to its delivery to the hospitals and does not have inventory risks. The facilitation services for each piece of laboratory equipment represents a single performance obligation. The Group records revenue on a net basis at the point in time when the Group has completed its facilitation services.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from pharma research and development services</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Group provides pharma research and development services to pharmaceutical companies for developing new targeted therapies and immunotherapies on various types of cancers and to hospitals for their studies on cancer diagnosis and treatment. The pharma research and development services include a range of cancer therapy selection testing services, analytical validation services and project management services. The Group will deliver an analysis report upon the completion of services. The testing services, analytical validation services and project management services are not distinct within the context of the contract because the Group is using these services as inputs to produce the analysis report. The Group recognizes services revenue over the period in which these services are provided because the Group does not create an asset with alternative use to the Group and the Group has an enforceable right to payment for the performance completed to date. The Group recognizes revenue using an output method to measure progress that utilizes cancer therapy selection testing performed to date as its measure of progress.</w:t>
      </w:r>
    </w:p>
    <w:p>
      <w:pPr>
        <w:spacing w:after="0" w:line="165"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Pharmaceutical companies may also separately engage the Group to perform multiple cancer therapy selection tests without an analysis of the test results. Each therapy selection test is capable of being distinct and separately identifiable from other promises in the contracts and therefore, represent distinct performance obligations. Revenue is allocated to each cancer therapy selection test using a relative standalone selling price basis. The Group records revenue at a point in time, when each cancer therapy selection test result is delivered to the pharmaceutical companies and hospitals.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b w:val="1"/>
          <w:bCs w:val="1"/>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assets and liabilities</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When the Group satisfies its performance obligations by providing products or services to a customer before the customer pays consideration or before payment is due, the Group recognizes its conditional rights to consideration as a contract asset, which is presented as “contract assets” on the consolidated balance sheets. The contract assets are transferred to the receivables when the rights become unconditional. When a customer pays consideration before the Group provides products or services, the Group records its obligation as a contract liability, which is presented as “deferred revenue” on the consolidated balance sheets.</w:t>
      </w:r>
    </w:p>
    <w:p>
      <w:pPr>
        <w:spacing w:after="0" w:line="18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Contract assets increased RMB21,625 (US$3,314) compared to the year ended December 31, 2019 because the Group has an unconditional right to bill customers only upon delivery of all reagent kits and the Group did not deliver all of the reagent kits in certain revenue arrangements with hospitals as of December 31, 2020. The Group recorded an impairment loss on contract assets of nil, nil and RMB3,497 (US$536) for the years ended December 31, 2018, 2019 and 2020, respectively. The increase in deferred revenue of RMB24,863 (US$3,810) as compared to the year ended December 31, 2019 is a result of the increase in consideration received from the Group’s customers. The Group receives payments from customers based on a billing schedule as established in contracts. Revenue recognized that was included in deferred revenue balance at the beginning of the year was RMB26,587, RMB41,255 and RMB27,807 (US$4,262) for the years ended December 31, 2018, 2019 and 2020, respectively.</w:t>
      </w:r>
    </w:p>
    <w:p>
      <w:pPr>
        <w:spacing w:after="0" w:line="166"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The transaction prices allocated to the remaining performance obligations (unsatisfied or partially satisfied) as of December 31, 2019 and 2020 were RMB56,110 and RMB115,523 (US$17,705), respectively. The Group expects to recognize the related revenue within one year.</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Value added taxes and related surcharges</w:t>
      </w:r>
    </w:p>
    <w:p>
      <w:pPr>
        <w:spacing w:after="0" w:line="11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Group is subject to value added tax (the “VAT”) that is imposed on and concurrent with the revenues earned for services provided in the PRC. The Group’s applicable value added tax rate is 6% or 17%. Pursuant to further VAT reform implemented from May 1, 2018, the previous applicable VAT tax rates of 17% were adjusted to 16% and further adjusted to 13% beginning in April 2019.</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Group excludes VAT from the measurement of transaction price because the Group is collecting the VAT on behalf of tax authorities. The Group is also subject to surcharges on VAT payments in accordance with PRC law, which is recorded as cost of revenue. Surcharges are recorded when incurred because they are not imposed on and concurrent with a specific revenue arrangement and were immaterial for the years ended December 31, 2018, 2019 and 2020,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Research and development expenses primarily consist of salaries and benefits for research and development personnel and the cost of materials for research and development projects and products. The Group expenses research and development costs as they are incurred.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subsidies</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Government subsidies primarily consist of financial subsidies received from provincial and local governments for operating a business in their jurisdictions and compliance with specific policies promoted by the local governments. The government subsidies with certain operating conditions are recorded as liabilities when received and will be recorded as a reduction of the related expense when the conditions are met. The government subsidies with no further conditions to be met are recorded as other income when received. Where the grant relates to an asset, it is recognized as deferred government grant and released to the consolidated statements of comprehensive loss in equal amounts over the expected useful life of the related asset as a reduction of the related expense.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Group classifies leases as either operating or capital leases at inception date. The Group assesses a lease to be a capital lease if any of the following conditions exists: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A capital lease is accounted for as if there was an acquisition of an asset and an incurrence of an obligation at the inception of the lease.</w:t>
      </w:r>
    </w:p>
    <w:p>
      <w:pPr>
        <w:spacing w:after="0" w:line="17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All other leases are accounted for as operating leases wherein rental payments are expensed on a straight-line basis over their respective lease terms. The Group leases certain office space and network equipment under non-cancelable operating lease agreements. Certain lease agreements contain rent holidays. Rent holidays are considered in determining the straight-line rent expense to be recorded over the lease term. The lease term begins on the date of initial possession of the leased property for purpose of recognizing lease expense on straight-line basis over the term of the lease.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Comprehensive loss is defined as the changes in equity of the Group during a period from transactions and other events and circumstances excluding transactions resulting from investments by shareholders and distributions to shareholders. Accumulated other comprehensive (loss) income of the Group includes foreign currency translation adjustments related to the Group and its overseas subsidiaries, whose functional currency is US$.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 xml:space="preserve">The Group follows the liability method of accounting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 likely than not that some portion, or all, of the deferred tax assets will not be realized. The effect on deferred taxes of a change in tax rate is recognized in tax expense in the period that includes the enactment date of the change in tax rate.</w:t>
      </w:r>
    </w:p>
    <w:p>
      <w:pPr>
        <w:spacing w:after="0" w:line="192" w:lineRule="exact"/>
        <w:rPr>
          <w:sz w:val="20"/>
          <w:szCs w:val="20"/>
          <w:color w:val="auto"/>
        </w:rPr>
      </w:pPr>
    </w:p>
    <w:p>
      <w:pPr>
        <w:jc w:val="both"/>
        <w:ind w:left="120" w:right="40"/>
        <w:spacing w:after="0" w:line="293" w:lineRule="auto"/>
        <w:rPr>
          <w:sz w:val="20"/>
          <w:szCs w:val="20"/>
          <w:color w:val="auto"/>
        </w:rPr>
      </w:pPr>
      <w:r>
        <w:rPr>
          <w:rFonts w:ascii="Arial" w:cs="Arial" w:eastAsia="Arial" w:hAnsi="Arial"/>
          <w:sz w:val="16"/>
          <w:szCs w:val="16"/>
          <w:color w:val="auto"/>
        </w:rPr>
        <w:t>The Group evaluates its uncertain tax positions using the provisions of ASC 740, which prescribes a recognition threshold that a tax position is required to meet before being recognized in the consolidated financial statements. The Group recognizes in the consolidated financial statements the benefit of a tax position which is “more likely than not” to be sustained under examination based solely on the technical merits of the position assuming a review by tax authorities having all relevant information. Tax positions that meet the recognition threshold are measured using a cumulative probability approach, at the largest amount of tax benefit that has a greater than fifty percent likelihood of being realized upon settlement. It is the Group’s policy to recognize interest and penalties related to unrecognized tax benefits, if any, as a component of income tax expenses.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The Group applies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to account for its employee share-based payments awards granted to certain directors, executives and employees. Share options granted are classified as equity awards and are measured based on the grant date fair value of the equity instrument issued. For employee award with only service condition, the Group record compensation costs using the straight-line method over the requisite service period, which is generally the vesting period of the options, with a corresponding impact reflected in additional paid-in capital. For employee award with service condition and performance condition that has graded vesting schedule, the Group record compensation costs on a tranche-by-tranche basis, with a corresponding impact reflected in additional paid-in capital. The Group early adopted ASU No. 2016-09 </w:t>
      </w:r>
      <w:r>
        <w:rPr>
          <w:rFonts w:ascii="Arial" w:cs="Arial" w:eastAsia="Arial" w:hAnsi="Arial"/>
          <w:sz w:val="18"/>
          <w:szCs w:val="18"/>
          <w:i w:val="1"/>
          <w:iCs w:val="1"/>
          <w:color w:val="auto"/>
        </w:rPr>
        <w:t xml:space="preserve">Compensation-Stock Compensation (Topic 718): Improvement to Employee Share-based Payment Accounting (“ASU 2016-09”) </w:t>
      </w:r>
      <w:r>
        <w:rPr>
          <w:rFonts w:ascii="Arial" w:cs="Arial" w:eastAsia="Arial" w:hAnsi="Arial"/>
          <w:sz w:val="18"/>
          <w:szCs w:val="18"/>
          <w:color w:val="auto"/>
        </w:rPr>
        <w:t>and accounts for forfeitures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occur.</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per share</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loss per share is computed by dividing net loss attributable to ordinary shareholders by the weighted average number of unrestricted ordinary shares outstanding during the year using the two-class method. Under the two-class method, net loss is allocated between ordinary shares and other participating securities based on dividends declared (or accumulated) and participating rights in undistributed earnings as if all the earnings for the reporting period had been distributed. The Company’s convertible preferred shares are participating securities because they are entitled to receive dividends or distributions on an as converted basis. Diluted loss per share is calculated by dividing net loss attributable to ordinary shareholders, as adjusted for the effect of dilutive ordinary equivalent shares, if any, by the weighted average number of ordinary and dilutive ordinary equivalent shares outstanding during the period. Ordinary equivalent shares include ordinary shares issuable upon the conversion of the convertible preferred shares using the if-converted method, and ordinary shares issuable upon the exercise of share options, using the treasury stock method. Ordinary share equivalents are excluded from the computation of diluted earnings per share if their effects are anti-dilutive. For the periods presented herein, the computation of basic loss per share using the two-class method is not applicable as the Company is in a net loss position and the participating securities do not have contractual rights and obligations to share in the losses of the Company.</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defined contribution plan</w:t>
      </w:r>
    </w:p>
    <w:p>
      <w:pPr>
        <w:spacing w:after="0" w:line="11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As stipulated by the regulations of the PRC, full-time employees of the Group are entitled to staff welfare benefits including medical care, welfare subsidies, unemployment insurance and pension benefits through a PRC government-mandated multi-employer defined contribution plan. The Group is required to accrue for these benefits based on certain percentages of the qualified employees’ salaries. The Group is required to make contributions to the plans out of the amounts accrued. The PRC government is responsible for the medical benefits and the pension liability to be paid to these employees and the Group’s obligations are limited to the amounts contributed. The Group has no further payment obligations once the contributions have been paid. The Group recorded employee benefit expenses of RMB20,566, RMB29,825 and RMB28,232 (US$4,327) for the years ended December 31, 2018, 2019 and 2020, respectively.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Modification of redeemable convertible preferred shares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Group assesses whether an amendment to the terms of its redeemable convertible preferred shares is an extinguishment or a modification using the fair value model. If the fair value of the redeemable convertible preferred shares immediately after the amendment changes by more than ten percent from the fair value of the redeemable convertible preferred shares immediately before the amendment, the amendment is considered an extinguishment. An amendment that does not meet this criterion is a modification. When redeemable convertible preferred shares are extinguished, the difference between the fair value of the consideration transferred to the redeemable convertible preferred shareholders and the carrying amount of the redeemable convertible preferred shares (net of issuance costs) is treated as a deemed dividend to the redeemable convertible preferred shareholders. When redeemable convertible preferred shares are modified, the increase of the fair value immediately after the amendment is treated as a deemed dividend to the redeemable convertible preferred shareholders. Modifications that result in a decrease in the fair value of the redeemable convertible preferred shares are not recognized.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As of December 31 2020, the Group had RMB2,287,338 (US$350,550) in cash and cash equivalents, restricted cash, and short-term investments, 55% and 45% of which were held by financial institutions in the PRC and international financial institutions outside of the PRC, respectively. Management believes that these financial institutions are of high credit quality and continually monitors the credit worthiness of these financial institutions.</w:t>
      </w:r>
    </w:p>
    <w:p>
      <w:pPr>
        <w:spacing w:after="0" w:line="14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Accounts receivables are typically unsecured and denominated in RMB and are derived from revenues earned from reputable customers. No customer accounted for more than 10% of the Group’s total accounts receivable balance as of December 31, 2018. As of December 31, 2019 and 2020, the Group had two customers with a receivable balance exceeding 10% of the total accounts receivable balance. The Group manages credit risk of accounts receivable through ongoing monitoring of the outstanding balances.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b w:val="1"/>
          <w:bCs w:val="1"/>
          <w:color w:val="auto"/>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suppliers</w:t>
      </w:r>
    </w:p>
    <w:p>
      <w:pPr>
        <w:spacing w:after="0" w:line="117"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A significant portion of the Group’s equipment and raw materials were purchased from its two suppliers, who collectively accounted for 52%, 67% and 57% of the Group’s total equipment and raw materials purchases for the years ended December 31, 2018, 2019 and 2020,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and economic risk</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Group believes that changes in any of the following areas could have a material adverse effect on the Group’s future consolidated financial position, results of operations or cash flows: changes in the overall demand for services; competitive pressures due to new entrants; advances and new trends in new technologies and industry standards; changes in certain strategic relationships; regulatory considerations and risks associated with the Group’s ability to attract employees necessary to support its growth. The Group’s operations could also be adversely affected by significant political, regulatory, economic and social uncertainties in the PRC.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Currency convertibility risk</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Substantially all of the Group’s businesses are transacted in RMB, which is not freely convertible into foreign currencies. On January 1, 1994, the PRC government abolished the dual rate system and introduced a single rate of exchange as quoted daily by the People’s Bank of China (the “PBOC”). However, the unification of the exchange rates does not imply that the RMB may be readily convertible into US$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From July 21, 2005, the RMB is permitted to fluctuate within a narrow and managed band against a basket of certain foreign currencies. For US$ against RMB, there was appreciation of approximately 5.7% and 1.3%, depreciation of approximately 6.3% in the years ended December 31, 2018, 2019 and 2020 respectively.</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functional currency and the reporting currency of the Company are the US$ and the RMB, respectively. Most of the revenues and costs of the Group are denominated in RMB, while a portion of cash and cash equivalents are denominated in US$. It is difficult to predict how market forces or PRC or U.S. government policy may impact the exchange rate between the Renminbi and the US$ in the future. Any significant fluctuation of the valuation of RMB may materially affect the Group’s cash flows, revenues, earnings and financial position, and the value of any dividends payable on the ADS in US$.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Reverse share split</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On January 30, 2020, the Company’s board of directors and shareholders approved an amended and restated memorandum and articles of association of the Company to effect a reverse split of shares of all issued and unissued shares of the Company (including stock options issued or issuable to employees and directors) as well as issued and outstanding Preferred Shares, on a 2-for-1 basis (the “Reverse Share Split”). The par values and the authorized shares of the ordinary shares, preferred shares were adjusted as a result of the Reverse Share Split. The Reverse Share Split became effective on January 30, 2020. All ordinary shares, preferred shares, and the related per share amounts contained in the financial statements have been retroactively adjusted to reflect the Reverse Share Split for all periods presented.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Group is an emerging growth company (“EGC”) as defined by the Jumpstart Our Business Start-ups Act (“JOBS Act”). The JOBS Act provides that an EGC can take advantage of extended transition periods for complying with new or revised accounting standards. This allows an EGC to delay adoption of certain accounting standards until those standards would otherwise apply to private companies. The Group elected to take advantage of the extended transition periods. However, this election will not apply should the Group cease to be classified as an EGC.</w:t>
      </w:r>
    </w:p>
    <w:p>
      <w:pPr>
        <w:spacing w:after="0" w:line="17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In February 2016, the FASB issued ASU No. 2016-02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which modifies lease accounting for lessees to increase transparency and comparability by recording lease assets and liabilities for operating leases and disclosing key information about leasing arrangements. In July 2018, the FASB issued ASU No. 2018-10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which clarifies certain aspects of the guidance issued in ASU 2016-02; and ASU No. 2018-11 (“ASU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which provides entities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Consequently, an entity’s reporting for the comparative periods presented in the financial statements in which it adopts the new leases standard will continue to be in accordance with current GAAP (Topic 840, Leases). In November 2019, the FASB issued ASU No. 2019-10,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(Topic 326), Derivatives and Hedging (Topic 815), and Leases (Topic 842), Effective Dates </w:t>
      </w:r>
      <w:r>
        <w:rPr>
          <w:rFonts w:ascii="Arial" w:cs="Arial" w:eastAsia="Arial" w:hAnsi="Arial"/>
          <w:sz w:val="17"/>
          <w:szCs w:val="17"/>
          <w:color w:val="auto"/>
        </w:rPr>
        <w:t>(“ASU 2019-10”), which</w:t>
      </w:r>
      <w:r>
        <w:rPr>
          <w:rFonts w:ascii="Arial" w:cs="Arial" w:eastAsia="Arial" w:hAnsi="Arial"/>
          <w:sz w:val="17"/>
          <w:szCs w:val="17"/>
          <w:i w:val="1"/>
          <w:iCs w:val="1"/>
          <w:color w:val="auto"/>
        </w:rPr>
        <w:t xml:space="preserve"> </w:t>
      </w:r>
      <w:r>
        <w:rPr>
          <w:rFonts w:ascii="Arial" w:cs="Arial" w:eastAsia="Arial" w:hAnsi="Arial"/>
          <w:sz w:val="17"/>
          <w:szCs w:val="17"/>
          <w:color w:val="auto"/>
        </w:rPr>
        <w:t>extends the adoption date for certain registrants. The updated guidance is effective for the Group for annual reporting periods beginning January 1, 2021 and interim periods within annual periods beginning January 1, 2022. Early adoption is permitted. The Group plans to early adopt the new lease standard and the Group expects that applying the ASU 2016-02 would materially increase the assets and liabilities due to the recognition of right-of-use assets and lease liabilities on its consolidated balance sheets, with an immaterial impact on its consolidated statements of comprehensive loss and consolidated statements of cash flows.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b w:val="1"/>
          <w:bCs w:val="1"/>
          <w:color w:val="auto"/>
        </w:rPr>
        <w:t>(Continued)</w:t>
      </w:r>
    </w:p>
    <w:p>
      <w:pPr>
        <w:spacing w:after="0" w:line="162"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ASU 2016-13 is intended to improve financial reporting by requiring timelier recording of credit losses on loans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financial instruments held by financial institutions and other organizations. This ASU requires the measurement of all expected credit losses for financial assets held at the reporting date based on historical experience, current conditions, and reasonable and supportable forecasts. This ASU requires enhanced disclosures to help investors and other financial statement users better understand significant estimates and judgments used in estimating credit losses, as well as the credit quality and underwriting standards of the Group’s portfolio. These disclosures include qualitative and quantitative requirements that provide additional information about the amounts recorded in the financial statements. In November 2019, the FASB issued ASU 2019-10, which extends the adoption date for certain registrants. The amendments in ASU 2016-13 are effective for fiscal years beginning after December 15, 2022, including interim periods within fiscal years beginning after December 15, 2023. The Group plans to early adopt the credit losses standard and expects that applying ASU 2016-13 would increase the allowance accounts receivable and contract assets.</w:t>
      </w:r>
    </w:p>
    <w:p>
      <w:pPr>
        <w:spacing w:after="0" w:line="16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to remove specific exceptions to the general principles in Topic 740 and to simplify accounting for income taxes. The standard is effective for public companies for fiscal years, and interim periods within those fiscal years, beginning after December 15, 2020. Early adoption is permitted. The Group is currently evaluating the impact of this accounting standard update on its consolidated financial statements.</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In January 2020, the FASB issued ASU 2020-01, </w:t>
      </w:r>
      <w:r>
        <w:rPr>
          <w:rFonts w:ascii="Arial" w:cs="Arial" w:eastAsia="Arial" w:hAnsi="Arial"/>
          <w:sz w:val="17"/>
          <w:szCs w:val="17"/>
          <w:i w:val="1"/>
          <w:iCs w:val="1"/>
          <w:color w:val="auto"/>
        </w:rPr>
        <w:t>Clarifying the interactions between Topic 321, Topic 323 and Topic 815.</w:t>
      </w:r>
      <w:r>
        <w:rPr>
          <w:rFonts w:ascii="Arial" w:cs="Arial" w:eastAsia="Arial" w:hAnsi="Arial"/>
          <w:sz w:val="17"/>
          <w:szCs w:val="17"/>
          <w:color w:val="auto"/>
        </w:rPr>
        <w:t xml:space="preserve"> The amendments in this Update clarify certain interactions between the guidance for certain equity securities under Topic 321, the guidance to account for investments under the equity method of accounting in Topic 323, and the guidance in Topic 815, which could change how an entity accounts for an equity security under the measurement alternative or a forward contract or purchased option to purchase securities that, upon settlement of the forward contract or exercise of the purchased option, would be accounted for under the equity method of accounting or the fair value option in accordance with Topic 825, Financial Instruments. The amendment in ASU 2020-01 are effective for public business entities in fiscal years beginning after December 15, 2020 and fiscal years beginning after December 15, 2021 for all other entities. Early adoption is permitted. The Group is in the process of evaluating the impact of adoption of this guidance on its consolidated financial statements.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80"/>
          </w:cols>
          <w:pgMar w:left="320" w:top="459"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139"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the years ended December 31, 2018, 2019 and 2020, the Group had three operating segments, including central laboratory business, in-hospital business and pharma research and development services. The operating segments also represented the reporting segments. The Group’s CODM assess the performance of the operating segments based on the measures of revenues, cost of revenue and gross profit by central laboratory business, in-hospital business and pharma research and development services. Other than the information provided below, the CODM do not use any other measures by segments.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Summarized information by segments for the years ended December 31, 2018, 2019 and 2020 is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20" w:type="dxa"/>
            <w:vAlign w:val="bottom"/>
            <w:gridSpan w:val="13"/>
          </w:tcPr>
          <w:p>
            <w:pPr>
              <w:jc w:val="right"/>
              <w:ind w:right="740"/>
              <w:spacing w:after="0"/>
              <w:rPr>
                <w:sz w:val="20"/>
                <w:szCs w:val="20"/>
                <w:color w:val="auto"/>
              </w:rPr>
            </w:pPr>
            <w:r>
              <w:rPr>
                <w:rFonts w:ascii="Arial" w:cs="Arial" w:eastAsia="Arial" w:hAnsi="Arial"/>
                <w:sz w:val="14"/>
                <w:szCs w:val="14"/>
                <w:b w:val="1"/>
                <w:bCs w:val="1"/>
                <w:color w:val="auto"/>
                <w:w w:val="92"/>
              </w:rPr>
              <w:t>For the year ended December 31, 2018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320"/>
              <w:spacing w:after="0" w:line="123" w:lineRule="exact"/>
              <w:rPr>
                <w:sz w:val="20"/>
                <w:szCs w:val="20"/>
                <w:color w:val="auto"/>
              </w:rPr>
            </w:pPr>
            <w:r>
              <w:rPr>
                <w:rFonts w:ascii="Arial" w:cs="Arial" w:eastAsia="Arial" w:hAnsi="Arial"/>
                <w:sz w:val="14"/>
                <w:szCs w:val="14"/>
                <w:color w:val="auto"/>
                <w:w w:val="89"/>
              </w:rPr>
              <w:t>Pharma</w:t>
            </w: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2"/>
              </w:rPr>
              <w:t>Central</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88"/>
              </w:rPr>
              <w:t>research and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6"/>
              </w:rPr>
              <w:t>laboratory</w:t>
            </w:r>
          </w:p>
        </w:tc>
        <w:tc>
          <w:tcPr>
            <w:tcW w:w="6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5"/>
              </w:rPr>
              <w:t>In-hospital</w:t>
            </w:r>
          </w:p>
        </w:tc>
        <w:tc>
          <w:tcPr>
            <w:tcW w:w="6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2"/>
              </w:rPr>
              <w:t>development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4"/>
          </w:tcPr>
          <w:p>
            <w:pPr>
              <w:ind w:left="80"/>
              <w:spacing w:after="0"/>
              <w:rPr>
                <w:sz w:val="20"/>
                <w:szCs w:val="20"/>
                <w:color w:val="auto"/>
              </w:rPr>
            </w:pPr>
            <w:r>
              <w:rPr>
                <w:rFonts w:ascii="Arial" w:cs="Arial" w:eastAsia="Arial" w:hAnsi="Arial"/>
                <w:sz w:val="14"/>
                <w:szCs w:val="14"/>
                <w:color w:val="auto"/>
              </w:rPr>
              <w:t>business</w:t>
            </w:r>
          </w:p>
        </w:tc>
        <w:tc>
          <w:tcPr>
            <w:tcW w:w="6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color w:val="auto"/>
                <w:w w:val="86"/>
              </w:rPr>
              <w:t>business</w:t>
            </w:r>
          </w:p>
        </w:tc>
        <w:tc>
          <w:tcPr>
            <w:tcW w:w="6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color w:val="auto"/>
                <w:w w:val="89"/>
              </w:rPr>
              <w:t>services</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64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Revenues from services</w:t>
            </w:r>
          </w:p>
        </w:tc>
        <w:tc>
          <w:tcPr>
            <w:tcW w:w="3260" w:type="dxa"/>
            <w:vAlign w:val="bottom"/>
            <w:gridSpan w:val="5"/>
          </w:tcPr>
          <w:p>
            <w:pPr>
              <w:ind w:left="2660"/>
              <w:spacing w:after="0"/>
              <w:rPr>
                <w:sz w:val="20"/>
                <w:szCs w:val="20"/>
                <w:color w:val="auto"/>
              </w:rPr>
            </w:pPr>
            <w:r>
              <w:rPr>
                <w:rFonts w:ascii="Arial" w:cs="Arial" w:eastAsia="Arial" w:hAnsi="Arial"/>
                <w:sz w:val="18"/>
                <w:szCs w:val="18"/>
                <w:color w:val="auto"/>
                <w:w w:val="89"/>
              </w:rPr>
              <w:t>161,458</w:t>
            </w:r>
          </w:p>
        </w:tc>
        <w:tc>
          <w:tcPr>
            <w:tcW w:w="240" w:type="dxa"/>
            <w:vAlign w:val="bottom"/>
          </w:tcPr>
          <w:p>
            <w:pPr>
              <w:spacing w:after="0"/>
              <w:rPr>
                <w:sz w:val="18"/>
                <w:szCs w:val="18"/>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4,506</w:t>
            </w:r>
          </w:p>
        </w:tc>
        <w:tc>
          <w:tcPr>
            <w:tcW w:w="1140" w:type="dxa"/>
            <w:vAlign w:val="bottom"/>
            <w:gridSpan w:val="4"/>
          </w:tcPr>
          <w:p>
            <w:pPr>
              <w:jc w:val="right"/>
              <w:ind w:right="320"/>
              <w:spacing w:after="0"/>
              <w:rPr>
                <w:sz w:val="20"/>
                <w:szCs w:val="20"/>
                <w:color w:val="auto"/>
              </w:rPr>
            </w:pPr>
            <w:r>
              <w:rPr>
                <w:rFonts w:ascii="Arial" w:cs="Arial" w:eastAsia="Arial" w:hAnsi="Arial"/>
                <w:sz w:val="18"/>
                <w:szCs w:val="18"/>
                <w:color w:val="auto"/>
              </w:rPr>
              <w:t>14,223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180,187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sales of products</w:t>
            </w:r>
          </w:p>
        </w:tc>
        <w:tc>
          <w:tcPr>
            <w:tcW w:w="2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28,680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3260" w:type="dxa"/>
            <w:vAlign w:val="bottom"/>
            <w:gridSpan w:val="5"/>
          </w:tcPr>
          <w:p>
            <w:pPr>
              <w:ind w:left="2660"/>
              <w:spacing w:after="0"/>
              <w:rPr>
                <w:sz w:val="20"/>
                <w:szCs w:val="20"/>
                <w:color w:val="auto"/>
              </w:rPr>
            </w:pPr>
            <w:r>
              <w:rPr>
                <w:rFonts w:ascii="Arial" w:cs="Arial" w:eastAsia="Arial" w:hAnsi="Arial"/>
                <w:sz w:val="18"/>
                <w:szCs w:val="18"/>
                <w:b w:val="1"/>
                <w:bCs w:val="1"/>
                <w:color w:val="auto"/>
                <w:w w:val="89"/>
              </w:rPr>
              <w:t>161,458</w:t>
            </w:r>
          </w:p>
        </w:tc>
        <w:tc>
          <w:tcPr>
            <w:tcW w:w="240" w:type="dxa"/>
            <w:vAlign w:val="bottom"/>
          </w:tcPr>
          <w:p>
            <w:pPr>
              <w:spacing w:after="0"/>
              <w:rPr>
                <w:sz w:val="24"/>
                <w:szCs w:val="24"/>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33,186</w:t>
            </w:r>
          </w:p>
        </w:tc>
        <w:tc>
          <w:tcPr>
            <w:tcW w:w="11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14,223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208,867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7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600" w:type="dxa"/>
            <w:vAlign w:val="bottom"/>
            <w:gridSpan w:val="2"/>
            <w:shd w:val="clear" w:color="auto" w:fill="CCEEFF"/>
          </w:tcPr>
          <w:p>
            <w:pPr>
              <w:spacing w:after="0"/>
              <w:rPr>
                <w:sz w:val="18"/>
                <w:szCs w:val="18"/>
                <w:color w:val="auto"/>
              </w:rPr>
            </w:pPr>
          </w:p>
        </w:tc>
        <w:tc>
          <w:tcPr>
            <w:tcW w:w="900" w:type="dxa"/>
            <w:vAlign w:val="bottom"/>
            <w:gridSpan w:val="4"/>
            <w:shd w:val="clear" w:color="auto" w:fill="CCEEFF"/>
          </w:tcPr>
          <w:p>
            <w:pPr>
              <w:ind w:left="100"/>
              <w:spacing w:after="0"/>
              <w:rPr>
                <w:sz w:val="20"/>
                <w:szCs w:val="20"/>
                <w:color w:val="auto"/>
              </w:rPr>
            </w:pPr>
            <w:r>
              <w:rPr>
                <w:rFonts w:ascii="Arial" w:cs="Arial" w:eastAsia="Arial" w:hAnsi="Arial"/>
                <w:sz w:val="18"/>
                <w:szCs w:val="18"/>
                <w:b w:val="1"/>
                <w:bCs w:val="1"/>
                <w:color w:val="auto"/>
              </w:rPr>
              <w:t>(56,241)</w:t>
            </w: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(13,120)</w:t>
            </w:r>
          </w:p>
        </w:tc>
        <w:tc>
          <w:tcPr>
            <w:tcW w:w="114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(4,447)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(73,808)</w:t>
            </w:r>
          </w:p>
        </w:tc>
        <w:tc>
          <w:tcPr>
            <w:tcW w:w="0" w:type="dxa"/>
            <w:vAlign w:val="bottom"/>
          </w:tcPr>
          <w:p>
            <w:pPr>
              <w:spacing w:after="0"/>
              <w:rPr>
                <w:sz w:val="1"/>
                <w:szCs w:val="1"/>
                <w:color w:val="auto"/>
              </w:rPr>
            </w:pPr>
          </w:p>
        </w:tc>
      </w:tr>
      <w:tr>
        <w:trPr>
          <w:trHeight w:val="331"/>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600" w:type="dxa"/>
            <w:vAlign w:val="bottom"/>
            <w:gridSpan w:val="2"/>
          </w:tcPr>
          <w:p>
            <w:pPr>
              <w:spacing w:after="0"/>
              <w:rPr>
                <w:sz w:val="24"/>
                <w:szCs w:val="24"/>
                <w:color w:val="auto"/>
              </w:rPr>
            </w:pPr>
          </w:p>
        </w:tc>
        <w:tc>
          <w:tcPr>
            <w:tcW w:w="6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86"/>
              </w:rPr>
              <w:t>105,217</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20,066</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9,776</w:t>
            </w:r>
          </w:p>
        </w:tc>
        <w:tc>
          <w:tcPr>
            <w:tcW w:w="32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135,059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1"/>
          </w:tcPr>
          <w:p>
            <w:pPr>
              <w:jc w:val="right"/>
              <w:ind w:right="20"/>
              <w:spacing w:after="0"/>
              <w:rPr>
                <w:sz w:val="20"/>
                <w:szCs w:val="20"/>
                <w:color w:val="auto"/>
              </w:rPr>
            </w:pPr>
            <w:r>
              <w:rPr>
                <w:rFonts w:ascii="Arial" w:cs="Arial" w:eastAsia="Arial" w:hAnsi="Arial"/>
                <w:sz w:val="14"/>
                <w:szCs w:val="14"/>
                <w:b w:val="1"/>
                <w:bCs w:val="1"/>
                <w:color w:val="auto"/>
                <w:w w:val="91"/>
              </w:rPr>
              <w:t>For the year ended December 31, 2019</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jc w:val="center"/>
              <w:ind w:right="440"/>
              <w:spacing w:after="0" w:line="123" w:lineRule="exact"/>
              <w:rPr>
                <w:sz w:val="20"/>
                <w:szCs w:val="20"/>
                <w:color w:val="auto"/>
              </w:rPr>
            </w:pPr>
            <w:r>
              <w:rPr>
                <w:rFonts w:ascii="Arial" w:cs="Arial" w:eastAsia="Arial" w:hAnsi="Arial"/>
                <w:sz w:val="14"/>
                <w:szCs w:val="14"/>
                <w:color w:val="auto"/>
                <w:w w:val="89"/>
              </w:rPr>
              <w:t>Pharma</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Central</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tcPr>
          <w:p>
            <w:pPr>
              <w:jc w:val="center"/>
              <w:ind w:right="380"/>
              <w:spacing w:after="0" w:line="149" w:lineRule="exact"/>
              <w:rPr>
                <w:sz w:val="20"/>
                <w:szCs w:val="20"/>
                <w:color w:val="auto"/>
              </w:rPr>
            </w:pPr>
            <w:r>
              <w:rPr>
                <w:rFonts w:ascii="Arial" w:cs="Arial" w:eastAsia="Arial" w:hAnsi="Arial"/>
                <w:sz w:val="14"/>
                <w:szCs w:val="14"/>
                <w:color w:val="auto"/>
                <w:w w:val="88"/>
              </w:rPr>
              <w:t>research and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60" w:type="dxa"/>
            <w:vAlign w:val="bottom"/>
            <w:gridSpan w:val="5"/>
          </w:tcPr>
          <w:p>
            <w:pPr>
              <w:jc w:val="center"/>
              <w:ind w:right="300"/>
              <w:spacing w:after="0" w:line="149" w:lineRule="exact"/>
              <w:rPr>
                <w:sz w:val="20"/>
                <w:szCs w:val="20"/>
                <w:color w:val="auto"/>
              </w:rPr>
            </w:pPr>
            <w:r>
              <w:rPr>
                <w:rFonts w:ascii="Arial" w:cs="Arial" w:eastAsia="Arial" w:hAnsi="Arial"/>
                <w:sz w:val="14"/>
                <w:szCs w:val="14"/>
                <w:color w:val="auto"/>
                <w:w w:val="93"/>
              </w:rPr>
              <w:t>laboratory</w:t>
            </w:r>
          </w:p>
        </w:tc>
        <w:tc>
          <w:tcPr>
            <w:tcW w:w="94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5"/>
              </w:rPr>
              <w:t>In-hospital</w:t>
            </w:r>
          </w:p>
        </w:tc>
        <w:tc>
          <w:tcPr>
            <w:tcW w:w="1140" w:type="dxa"/>
            <w:vAlign w:val="bottom"/>
            <w:gridSpan w:val="4"/>
          </w:tcPr>
          <w:p>
            <w:pPr>
              <w:jc w:val="center"/>
              <w:ind w:right="360"/>
              <w:spacing w:after="0" w:line="149" w:lineRule="exact"/>
              <w:rPr>
                <w:sz w:val="20"/>
                <w:szCs w:val="20"/>
                <w:color w:val="auto"/>
              </w:rPr>
            </w:pPr>
            <w:r>
              <w:rPr>
                <w:rFonts w:ascii="Arial" w:cs="Arial" w:eastAsia="Arial" w:hAnsi="Arial"/>
                <w:sz w:val="14"/>
                <w:szCs w:val="14"/>
                <w:color w:val="auto"/>
                <w:w w:val="92"/>
              </w:rPr>
              <w:t>development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4"/>
          </w:tcPr>
          <w:p>
            <w:pPr>
              <w:jc w:val="center"/>
              <w:ind w:right="360"/>
              <w:spacing w:after="0"/>
              <w:rPr>
                <w:sz w:val="20"/>
                <w:szCs w:val="20"/>
                <w:color w:val="auto"/>
              </w:rPr>
            </w:pPr>
            <w:r>
              <w:rPr>
                <w:rFonts w:ascii="Arial" w:cs="Arial" w:eastAsia="Arial" w:hAnsi="Arial"/>
                <w:sz w:val="14"/>
                <w:szCs w:val="14"/>
                <w:color w:val="auto"/>
                <w:w w:val="90"/>
              </w:rPr>
              <w:t>business</w:t>
            </w:r>
          </w:p>
        </w:tc>
        <w:tc>
          <w:tcPr>
            <w:tcW w:w="60" w:type="dxa"/>
            <w:vAlign w:val="bottom"/>
          </w:tcPr>
          <w:p>
            <w:pPr>
              <w:spacing w:after="0"/>
              <w:rPr>
                <w:sz w:val="14"/>
                <w:szCs w:val="14"/>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4"/>
                <w:szCs w:val="14"/>
                <w:color w:val="auto"/>
                <w:w w:val="86"/>
              </w:rPr>
              <w:t>business</w:t>
            </w:r>
          </w:p>
        </w:tc>
        <w:tc>
          <w:tcPr>
            <w:tcW w:w="60" w:type="dxa"/>
            <w:vAlign w:val="bottom"/>
          </w:tcPr>
          <w:p>
            <w:pPr>
              <w:spacing w:after="0"/>
              <w:rPr>
                <w:sz w:val="14"/>
                <w:szCs w:val="14"/>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color w:val="auto"/>
                <w:w w:val="89"/>
              </w:rPr>
              <w:t>services</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gridSpan w:val="3"/>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gridSpan w:val="2"/>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gridSpan w:val="2"/>
          </w:tcPr>
          <w:p>
            <w:pPr>
              <w:spacing w:after="0"/>
              <w:rPr>
                <w:sz w:val="12"/>
                <w:szCs w:val="12"/>
                <w:color w:val="auto"/>
              </w:rPr>
            </w:pPr>
          </w:p>
        </w:tc>
        <w:tc>
          <w:tcPr>
            <w:tcW w:w="6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Revenues from services</w:t>
            </w:r>
          </w:p>
        </w:tc>
        <w:tc>
          <w:tcPr>
            <w:tcW w:w="3240" w:type="dxa"/>
            <w:vAlign w:val="bottom"/>
            <w:gridSpan w:val="4"/>
          </w:tcPr>
          <w:p>
            <w:pPr>
              <w:jc w:val="right"/>
              <w:spacing w:after="0"/>
              <w:rPr>
                <w:sz w:val="20"/>
                <w:szCs w:val="20"/>
                <w:color w:val="auto"/>
              </w:rPr>
            </w:pPr>
            <w:r>
              <w:rPr>
                <w:rFonts w:ascii="Arial" w:cs="Arial" w:eastAsia="Arial" w:hAnsi="Arial"/>
                <w:sz w:val="18"/>
                <w:szCs w:val="18"/>
                <w:color w:val="auto"/>
              </w:rPr>
              <w:t>276,254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(1,476)</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17,745</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sales of products</w:t>
            </w:r>
          </w:p>
        </w:tc>
        <w:tc>
          <w:tcPr>
            <w:tcW w:w="25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89,154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gridSpan w:val="2"/>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3240" w:type="dxa"/>
            <w:vAlign w:val="bottom"/>
            <w:gridSpan w:val="4"/>
          </w:tcPr>
          <w:p>
            <w:pPr>
              <w:jc w:val="right"/>
              <w:spacing w:after="0"/>
              <w:rPr>
                <w:sz w:val="20"/>
                <w:szCs w:val="20"/>
                <w:color w:val="auto"/>
              </w:rPr>
            </w:pPr>
            <w:r>
              <w:rPr>
                <w:rFonts w:ascii="Arial" w:cs="Arial" w:eastAsia="Arial" w:hAnsi="Arial"/>
                <w:sz w:val="18"/>
                <w:szCs w:val="18"/>
                <w:b w:val="1"/>
                <w:bCs w:val="1"/>
                <w:color w:val="auto"/>
              </w:rPr>
              <w:t>276,254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87,678</w:t>
            </w:r>
          </w:p>
        </w:tc>
        <w:tc>
          <w:tcPr>
            <w:tcW w:w="240" w:type="dxa"/>
            <w:vAlign w:val="bottom"/>
          </w:tcPr>
          <w:p>
            <w:pPr>
              <w:spacing w:after="0"/>
              <w:rPr>
                <w:sz w:val="24"/>
                <w:szCs w:val="2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17,745</w:t>
            </w:r>
          </w:p>
        </w:tc>
        <w:tc>
          <w:tcPr>
            <w:tcW w:w="3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381,677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7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5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(73,689)</w:t>
            </w: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(29,506)</w:t>
            </w:r>
          </w:p>
        </w:tc>
        <w:tc>
          <w:tcPr>
            <w:tcW w:w="114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(5,148)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8"/>
              </w:rPr>
              <w:t>(108,343)</w:t>
            </w:r>
          </w:p>
        </w:tc>
        <w:tc>
          <w:tcPr>
            <w:tcW w:w="0" w:type="dxa"/>
            <w:vAlign w:val="bottom"/>
          </w:tcPr>
          <w:p>
            <w:pPr>
              <w:spacing w:after="0"/>
              <w:rPr>
                <w:sz w:val="1"/>
                <w:szCs w:val="1"/>
                <w:color w:val="auto"/>
              </w:rPr>
            </w:pPr>
          </w:p>
        </w:tc>
      </w:tr>
      <w:tr>
        <w:trPr>
          <w:trHeight w:val="20"/>
        </w:trPr>
        <w:tc>
          <w:tcPr>
            <w:tcW w:w="38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5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202,565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58,172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12,597</w:t>
            </w:r>
          </w:p>
        </w:tc>
        <w:tc>
          <w:tcPr>
            <w:tcW w:w="3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273,334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00" w:type="dxa"/>
            <w:vAlign w:val="bottom"/>
            <w:gridSpan w:val="6"/>
          </w:tcPr>
          <w:p>
            <w:pPr>
              <w:ind w:left="1100"/>
              <w:spacing w:after="0"/>
              <w:rPr>
                <w:sz w:val="20"/>
                <w:szCs w:val="20"/>
                <w:color w:val="auto"/>
              </w:rPr>
            </w:pPr>
            <w:r>
              <w:rPr>
                <w:rFonts w:ascii="Arial" w:cs="Arial" w:eastAsia="Arial" w:hAnsi="Arial"/>
                <w:sz w:val="18"/>
                <w:szCs w:val="18"/>
                <w:color w:val="auto"/>
              </w:rPr>
              <w:t>F-35</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59" w:right="6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 (CONTINUED)</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2"/>
              </w:rPr>
              <w:t>For the year ended December 31, 2020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6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89"/>
              </w:rPr>
              <w:t>Pharma</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8"/>
        </w:trPr>
        <w:tc>
          <w:tcPr>
            <w:tcW w:w="668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Central</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research and</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680" w:type="dxa"/>
            <w:vAlign w:val="bottom"/>
          </w:tcPr>
          <w:p>
            <w:pPr>
              <w:spacing w:after="0"/>
              <w:rPr>
                <w:sz w:val="12"/>
                <w:szCs w:val="12"/>
                <w:color w:val="auto"/>
              </w:rPr>
            </w:pPr>
          </w:p>
        </w:tc>
        <w:tc>
          <w:tcPr>
            <w:tcW w:w="2680" w:type="dxa"/>
            <w:vAlign w:val="bottom"/>
            <w:gridSpan w:val="7"/>
          </w:tcPr>
          <w:p>
            <w:pPr>
              <w:jc w:val="right"/>
              <w:ind w:right="220"/>
              <w:spacing w:after="0" w:line="149" w:lineRule="exact"/>
              <w:rPr>
                <w:sz w:val="20"/>
                <w:szCs w:val="20"/>
                <w:color w:val="auto"/>
              </w:rPr>
            </w:pPr>
            <w:r>
              <w:rPr>
                <w:rFonts w:ascii="Arial" w:cs="Arial" w:eastAsia="Arial" w:hAnsi="Arial"/>
                <w:sz w:val="14"/>
                <w:szCs w:val="14"/>
                <w:color w:val="auto"/>
              </w:rPr>
              <w:t>laboratory    In-hospital   development</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668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color w:val="auto"/>
                <w:w w:val="86"/>
              </w:rPr>
              <w:t>business</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w w:val="97"/>
              </w:rPr>
              <w:t>business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services</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Total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68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gridSpan w:val="2"/>
          </w:tcPr>
          <w:p>
            <w:pPr>
              <w:spacing w:after="0"/>
              <w:rPr>
                <w:sz w:val="12"/>
                <w:szCs w:val="12"/>
                <w:color w:val="auto"/>
              </w:rPr>
            </w:pPr>
          </w:p>
        </w:tc>
        <w:tc>
          <w:tcPr>
            <w:tcW w:w="64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RMB</w:t>
            </w:r>
          </w:p>
        </w:tc>
        <w:tc>
          <w:tcPr>
            <w:tcW w:w="62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Revenues from services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297,342</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(847)</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14,689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311,184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47,691</w:t>
            </w: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Revenues from sales of products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118,719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118,719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18,194</w:t>
            </w:r>
          </w:p>
        </w:tc>
      </w:tr>
      <w:tr>
        <w:trPr>
          <w:trHeight w:val="20"/>
        </w:trPr>
        <w:tc>
          <w:tcPr>
            <w:tcW w:w="6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668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297,342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117,872</w:t>
            </w:r>
          </w:p>
        </w:tc>
        <w:tc>
          <w:tcPr>
            <w:tcW w:w="2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14,689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429,903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65,885</w:t>
            </w:r>
          </w:p>
        </w:tc>
      </w:tr>
      <w:tr>
        <w:trPr>
          <w:trHeight w:val="115"/>
        </w:trPr>
        <w:tc>
          <w:tcPr>
            <w:tcW w:w="66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(73,960)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(35,849)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(6,172)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(115,981)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(17,775)</w:t>
            </w:r>
          </w:p>
        </w:tc>
      </w:tr>
      <w:tr>
        <w:trPr>
          <w:trHeight w:val="20"/>
        </w:trPr>
        <w:tc>
          <w:tcPr>
            <w:tcW w:w="6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66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223,382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82,023</w:t>
            </w:r>
          </w:p>
        </w:tc>
        <w:tc>
          <w:tcPr>
            <w:tcW w:w="2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8,517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313,922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48,110</w:t>
            </w:r>
          </w:p>
        </w:tc>
      </w:tr>
      <w:tr>
        <w:trPr>
          <w:trHeight w:val="20"/>
        </w:trPr>
        <w:tc>
          <w:tcPr>
            <w:tcW w:w="6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Geographic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analysis of the total long-lived assets excluding equity method investment, long-term investment and intangible assets by country was as follows: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7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40" w:type="dxa"/>
            <w:vAlign w:val="bottom"/>
          </w:tcPr>
          <w:p>
            <w:pPr>
              <w:jc w:val="right"/>
              <w:ind w:right="101"/>
              <w:spacing w:after="0" w:line="142" w:lineRule="exact"/>
              <w:rPr>
                <w:sz w:val="20"/>
                <w:szCs w:val="20"/>
                <w:color w:val="auto"/>
              </w:rPr>
            </w:pPr>
            <w:r>
              <w:rPr>
                <w:rFonts w:ascii="Arial" w:cs="Arial" w:eastAsia="Arial" w:hAnsi="Arial"/>
                <w:sz w:val="14"/>
                <w:szCs w:val="14"/>
                <w:b w:val="1"/>
                <w:bCs w:val="1"/>
                <w:color w:val="auto"/>
              </w:rPr>
              <w:t>2019</w:t>
            </w:r>
          </w:p>
        </w:tc>
        <w:tc>
          <w:tcPr>
            <w:tcW w:w="11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7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4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RMB</w:t>
            </w:r>
          </w:p>
        </w:tc>
        <w:tc>
          <w:tcPr>
            <w:tcW w:w="56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106,087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16,258</w:t>
            </w:r>
          </w:p>
        </w:tc>
        <w:tc>
          <w:tcPr>
            <w:tcW w:w="60" w:type="dxa"/>
            <w:vAlign w:val="bottom"/>
            <w:shd w:val="clear" w:color="auto" w:fill="CCEEFF"/>
          </w:tcPr>
          <w:p>
            <w:pPr>
              <w:spacing w:after="0"/>
              <w:rPr>
                <w:sz w:val="18"/>
                <w:szCs w:val="18"/>
                <w:color w:val="auto"/>
              </w:rPr>
            </w:pPr>
          </w:p>
        </w:tc>
      </w:tr>
      <w:tr>
        <w:trPr>
          <w:trHeight w:val="223"/>
        </w:trPr>
        <w:tc>
          <w:tcPr>
            <w:tcW w:w="2700" w:type="dxa"/>
            <w:vAlign w:val="bottom"/>
          </w:tcPr>
          <w:p>
            <w:pPr>
              <w:spacing w:after="0"/>
              <w:rPr>
                <w:sz w:val="20"/>
                <w:szCs w:val="20"/>
                <w:color w:val="auto"/>
              </w:rPr>
            </w:pPr>
            <w:r>
              <w:rPr>
                <w:rFonts w:ascii="Arial" w:cs="Arial" w:eastAsia="Arial" w:hAnsi="Arial"/>
                <w:sz w:val="18"/>
                <w:szCs w:val="18"/>
                <w:color w:val="auto"/>
              </w:rPr>
              <w:t>United States</w:t>
            </w:r>
          </w:p>
        </w:tc>
        <w:tc>
          <w:tcPr>
            <w:tcW w:w="4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6,814</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28,415</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60" w:type="dxa"/>
            <w:vAlign w:val="bottom"/>
          </w:tcPr>
          <w:p>
            <w:pPr>
              <w:spacing w:after="0"/>
              <w:rPr>
                <w:sz w:val="19"/>
                <w:szCs w:val="19"/>
                <w:color w:val="auto"/>
              </w:rPr>
            </w:pPr>
          </w:p>
        </w:tc>
      </w:tr>
      <w:tr>
        <w:trPr>
          <w:trHeight w:val="216"/>
        </w:trPr>
        <w:tc>
          <w:tcPr>
            <w:tcW w:w="27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100,268</w:t>
            </w: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134,502</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20,613</w:t>
            </w:r>
          </w:p>
        </w:tc>
        <w:tc>
          <w:tcPr>
            <w:tcW w:w="60" w:type="dxa"/>
            <w:vAlign w:val="bottom"/>
            <w:shd w:val="clear" w:color="auto" w:fill="CCEEFF"/>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700" w:type="dxa"/>
            <w:vAlign w:val="bottom"/>
          </w:tcPr>
          <w:p>
            <w:pPr>
              <w:spacing w:after="0"/>
              <w:rPr>
                <w:sz w:val="24"/>
                <w:szCs w:val="24"/>
                <w:color w:val="auto"/>
              </w:rPr>
            </w:pPr>
          </w:p>
        </w:tc>
        <w:tc>
          <w:tcPr>
            <w:tcW w:w="4840" w:type="dxa"/>
            <w:vAlign w:val="bottom"/>
            <w:gridSpan w:val="2"/>
          </w:tcPr>
          <w:p>
            <w:pPr>
              <w:jc w:val="right"/>
              <w:ind w:right="2661"/>
              <w:spacing w:after="0"/>
              <w:rPr>
                <w:sz w:val="20"/>
                <w:szCs w:val="20"/>
                <w:color w:val="auto"/>
              </w:rPr>
            </w:pPr>
            <w:r>
              <w:rPr>
                <w:rFonts w:ascii="Arial" w:cs="Arial" w:eastAsia="Arial" w:hAnsi="Arial"/>
                <w:sz w:val="18"/>
                <w:szCs w:val="18"/>
                <w:color w:val="auto"/>
              </w:rPr>
              <w:t>F-36</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left="880" w:right="2340"/>
        <w:spacing w:after="0" w:line="255" w:lineRule="auto"/>
        <w:rPr>
          <w:sz w:val="20"/>
          <w:szCs w:val="20"/>
          <w:color w:val="auto"/>
        </w:rPr>
      </w:pPr>
      <w:r>
        <w:rPr>
          <w:rFonts w:ascii="Arial" w:cs="Arial" w:eastAsia="Arial" w:hAnsi="Arial"/>
          <w:sz w:val="18"/>
          <w:szCs w:val="18"/>
          <w:b w:val="1"/>
          <w:bCs w:val="1"/>
          <w:color w:val="auto"/>
        </w:rPr>
        <w:t>FOR THE YEARS ENDED DECEMBER 31, 2018, 2019 AND 2020 (Amounts in thousands of Renminbi (“RMB”) and US dollars (“US$”), except for number of shares and per share data)</w:t>
      </w:r>
    </w:p>
    <w:p>
      <w:pPr>
        <w:spacing w:after="0" w:line="118" w:lineRule="exact"/>
        <w:rPr>
          <w:sz w:val="20"/>
          <w:szCs w:val="20"/>
          <w:color w:val="auto"/>
        </w:rPr>
      </w:pPr>
    </w:p>
    <w:p>
      <w:pPr>
        <w:ind w:left="540" w:hanging="424"/>
        <w:spacing w:after="0"/>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248"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6350</wp:posOffset>
            </wp:positionV>
            <wp:extent cx="15259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7920"/>
        <w:spacing w:after="0"/>
        <w:tabs>
          <w:tab w:leader="none" w:pos="92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-3175</wp:posOffset>
            </wp:positionV>
            <wp:extent cx="15259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ind w:left="7900"/>
        <w:spacing w:after="0"/>
        <w:tabs>
          <w:tab w:leader="none" w:pos="8800" w:val="left"/>
          <w:tab w:leader="none" w:pos="972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3"/>
          <w:szCs w:val="13"/>
          <w:b w:val="1"/>
          <w:bCs w:val="1"/>
          <w:color w:val="auto"/>
        </w:rPr>
        <w:t>US$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5"/>
              </w:rPr>
              <w:t>101,934</w:t>
            </w:r>
          </w:p>
        </w:tc>
        <w:tc>
          <w:tcPr>
            <w:tcW w:w="2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112,433</w:t>
            </w:r>
          </w:p>
        </w:tc>
        <w:tc>
          <w:tcPr>
            <w:tcW w:w="6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17,231</w:t>
            </w:r>
          </w:p>
        </w:tc>
        <w:tc>
          <w:tcPr>
            <w:tcW w:w="12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860" w:type="dxa"/>
            <w:vAlign w:val="bottom"/>
            <w:gridSpan w:val="5"/>
          </w:tcPr>
          <w:p>
            <w:pPr>
              <w:jc w:val="right"/>
              <w:ind w:right="160"/>
              <w:spacing w:after="0"/>
              <w:rPr>
                <w:sz w:val="20"/>
                <w:szCs w:val="20"/>
                <w:color w:val="auto"/>
              </w:rPr>
            </w:pPr>
            <w:r>
              <w:rPr>
                <w:rFonts w:ascii="Arial" w:cs="Arial" w:eastAsia="Arial" w:hAnsi="Arial"/>
                <w:sz w:val="18"/>
                <w:szCs w:val="18"/>
                <w:color w:val="auto"/>
              </w:rPr>
              <w:t>(13,112)</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(24,215)</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(3,711)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88,822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88,218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13,520</w:t>
            </w: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color w:val="auto"/>
              </w:rPr>
              <w:t>The following table presents the movement in the allowance for doubtful accounts:</w:t>
            </w: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b w:val="1"/>
                <w:bCs w:val="1"/>
                <w:color w:val="auto"/>
                <w:w w:val="92"/>
              </w:rPr>
              <w:t>As of December 31,</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gridSpan w:val="2"/>
          </w:tcPr>
          <w:p>
            <w:pPr>
              <w:spacing w:after="0"/>
              <w:rPr>
                <w:sz w:val="12"/>
                <w:szCs w:val="12"/>
                <w:color w:val="auto"/>
              </w:rPr>
            </w:pPr>
          </w:p>
        </w:tc>
        <w:tc>
          <w:tcPr>
            <w:tcW w:w="78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rPr>
              <w:t>RMB</w:t>
            </w:r>
          </w:p>
        </w:tc>
        <w:tc>
          <w:tcPr>
            <w:tcW w:w="4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920</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1,827</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13,112</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2,010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907</w:t>
            </w:r>
          </w:p>
        </w:tc>
        <w:tc>
          <w:tcPr>
            <w:tcW w:w="2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11,932</w:t>
            </w:r>
          </w:p>
        </w:tc>
        <w:tc>
          <w:tcPr>
            <w:tcW w:w="6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13,647</w:t>
            </w: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2,091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1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(647)</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(2,544)</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7620" w:type="dxa"/>
            <w:vAlign w:val="bottom"/>
            <w:gridSpan w:val="3"/>
          </w:tcPr>
          <w:p>
            <w:pPr>
              <w:ind w:left="440"/>
              <w:spacing w:after="0"/>
              <w:rPr>
                <w:sz w:val="20"/>
                <w:szCs w:val="20"/>
                <w:color w:val="auto"/>
              </w:rPr>
            </w:pPr>
            <w:r>
              <w:rPr>
                <w:rFonts w:ascii="Arial" w:cs="Arial" w:eastAsia="Arial" w:hAnsi="Arial"/>
                <w:sz w:val="18"/>
                <w:szCs w:val="18"/>
                <w:color w:val="auto"/>
              </w:rPr>
              <w:t>Balance at the end of the year</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1,827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13,112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24,215</w:t>
            </w: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3,711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11"/>
          </w:tcPr>
          <w:p>
            <w:pPr>
              <w:jc w:val="center"/>
              <w:ind w:right="18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6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43"/>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center"/>
              <w:ind w:right="380"/>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46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27,637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Work in progress</w:t>
            </w:r>
          </w:p>
        </w:tc>
        <w:tc>
          <w:tcPr>
            <w:tcW w:w="3580" w:type="dxa"/>
            <w:vAlign w:val="bottom"/>
            <w:gridSpan w:val="3"/>
          </w:tcPr>
          <w:p>
            <w:pPr>
              <w:jc w:val="right"/>
              <w:spacing w:after="0"/>
              <w:rPr>
                <w:sz w:val="20"/>
                <w:szCs w:val="20"/>
                <w:color w:val="auto"/>
              </w:rPr>
            </w:pPr>
            <w:r>
              <w:rPr>
                <w:rFonts w:ascii="Arial" w:cs="Arial" w:eastAsia="Arial" w:hAnsi="Arial"/>
                <w:sz w:val="18"/>
                <w:szCs w:val="18"/>
                <w:color w:val="auto"/>
              </w:rPr>
              <w:t>19,182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24,849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15,535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58,116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68,021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10,425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46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PREPAYMENTS AND OTHER CURRENT ASSETS</w:t>
            </w:r>
          </w:p>
        </w:tc>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60" w:type="dxa"/>
            <w:vAlign w:val="bottom"/>
            <w:vMerge w:val="continue"/>
          </w:tcPr>
          <w:p>
            <w:pPr>
              <w:spacing w:after="0"/>
              <w:rPr>
                <w:sz w:val="24"/>
                <w:szCs w:val="24"/>
                <w:color w:val="auto"/>
              </w:rPr>
            </w:pPr>
          </w:p>
        </w:tc>
        <w:tc>
          <w:tcPr>
            <w:tcW w:w="4680" w:type="dxa"/>
            <w:vAlign w:val="bottom"/>
            <w:gridSpan w:val="2"/>
            <w:vMerge w:val="continue"/>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w w:val="99"/>
              </w:rPr>
              <w:t>Prepayments and other current assets consist of the following:</w:t>
            </w: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11"/>
          </w:tcPr>
          <w:p>
            <w:pPr>
              <w:ind w:lef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120" w:type="dxa"/>
            <w:vAlign w:val="bottom"/>
            <w:gridSpan w:val="2"/>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Deductible input VAT</w:t>
            </w:r>
          </w:p>
        </w:tc>
        <w:tc>
          <w:tcPr>
            <w:tcW w:w="3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37,254</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34,157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Prepayments</w:t>
            </w:r>
          </w:p>
        </w:tc>
        <w:tc>
          <w:tcPr>
            <w:tcW w:w="3660" w:type="dxa"/>
            <w:vAlign w:val="bottom"/>
            <w:gridSpan w:val="4"/>
          </w:tcPr>
          <w:p>
            <w:pPr>
              <w:jc w:val="right"/>
              <w:spacing w:after="0"/>
              <w:rPr>
                <w:sz w:val="20"/>
                <w:szCs w:val="20"/>
                <w:color w:val="auto"/>
              </w:rPr>
            </w:pPr>
            <w:r>
              <w:rPr>
                <w:rFonts w:ascii="Arial" w:cs="Arial" w:eastAsia="Arial" w:hAnsi="Arial"/>
                <w:sz w:val="18"/>
                <w:szCs w:val="18"/>
                <w:color w:val="auto"/>
              </w:rPr>
              <w:t>14,217</w:t>
            </w:r>
          </w:p>
        </w:tc>
        <w:tc>
          <w:tcPr>
            <w:tcW w:w="1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14,773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Deferred IPO costs</w:t>
            </w:r>
          </w:p>
        </w:tc>
        <w:tc>
          <w:tcPr>
            <w:tcW w:w="3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Deposits</w:t>
            </w:r>
          </w:p>
        </w:tc>
        <w:tc>
          <w:tcPr>
            <w:tcW w:w="3660" w:type="dxa"/>
            <w:vAlign w:val="bottom"/>
            <w:gridSpan w:val="4"/>
          </w:tcPr>
          <w:p>
            <w:pPr>
              <w:jc w:val="right"/>
              <w:spacing w:after="0"/>
              <w:rPr>
                <w:sz w:val="20"/>
                <w:szCs w:val="20"/>
                <w:color w:val="auto"/>
              </w:rPr>
            </w:pPr>
            <w:r>
              <w:rPr>
                <w:rFonts w:ascii="Arial" w:cs="Arial" w:eastAsia="Arial" w:hAnsi="Arial"/>
                <w:sz w:val="18"/>
                <w:szCs w:val="18"/>
                <w:color w:val="auto"/>
              </w:rPr>
              <w:t>2,663</w:t>
            </w:r>
          </w:p>
        </w:tc>
        <w:tc>
          <w:tcPr>
            <w:tcW w:w="1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receivables</w:t>
            </w:r>
          </w:p>
        </w:tc>
        <w:tc>
          <w:tcPr>
            <w:tcW w:w="3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Others</w:t>
            </w:r>
          </w:p>
        </w:tc>
        <w:tc>
          <w:tcPr>
            <w:tcW w:w="3120" w:type="dxa"/>
            <w:vAlign w:val="bottom"/>
            <w:gridSpan w:val="2"/>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72,340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57,329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00" w:type="dxa"/>
            <w:vAlign w:val="bottom"/>
            <w:gridSpan w:val="5"/>
          </w:tcPr>
          <w:p>
            <w:pPr>
              <w:ind w:left="400"/>
              <w:spacing w:after="0"/>
              <w:rPr>
                <w:sz w:val="20"/>
                <w:szCs w:val="20"/>
                <w:color w:val="auto"/>
              </w:rPr>
            </w:pPr>
            <w:r>
              <w:rPr>
                <w:rFonts w:ascii="Arial" w:cs="Arial" w:eastAsia="Arial" w:hAnsi="Arial"/>
                <w:sz w:val="18"/>
                <w:szCs w:val="18"/>
                <w:color w:val="auto"/>
              </w:rPr>
              <w:t>F-37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139" w:lineRule="exact"/>
        <w:rPr>
          <w:sz w:val="20"/>
          <w:szCs w:val="20"/>
          <w:color w:val="auto"/>
        </w:rPr>
      </w:pPr>
    </w:p>
    <w:p>
      <w:pPr>
        <w:ind w:left="540" w:hanging="424"/>
        <w:spacing w:after="0"/>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consist of the following:</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780" w:type="dxa"/>
            <w:vAlign w:val="bottom"/>
            <w:tcBorders>
              <w:bottom w:val="single" w:sz="8" w:color="auto"/>
            </w:tcBorders>
            <w:gridSpan w:val="5"/>
          </w:tcPr>
          <w:p>
            <w:pPr>
              <w:jc w:val="center"/>
              <w:ind w:left="475"/>
              <w:spacing w:after="0"/>
              <w:rPr>
                <w:sz w:val="20"/>
                <w:szCs w:val="20"/>
                <w:color w:val="auto"/>
              </w:rPr>
            </w:pPr>
            <w:r>
              <w:rPr>
                <w:rFonts w:ascii="Arial" w:cs="Arial" w:eastAsia="Arial" w:hAnsi="Arial"/>
                <w:sz w:val="14"/>
                <w:szCs w:val="14"/>
                <w:b w:val="1"/>
                <w:bCs w:val="1"/>
                <w:color w:val="auto"/>
                <w:w w:val="90"/>
              </w:rPr>
              <w:t>As of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780" w:type="dxa"/>
            <w:vAlign w:val="bottom"/>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64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94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rPr>
              <w:t>RMB</w:t>
            </w: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laboratory equipment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120,478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153,589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23,537</w:t>
            </w:r>
          </w:p>
        </w:tc>
        <w:tc>
          <w:tcPr>
            <w:tcW w:w="1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Vehicles</w:t>
            </w:r>
          </w:p>
        </w:tc>
        <w:tc>
          <w:tcPr>
            <w:tcW w:w="640" w:type="dxa"/>
            <w:vAlign w:val="bottom"/>
          </w:tcPr>
          <w:p>
            <w:pPr>
              <w:jc w:val="right"/>
              <w:spacing w:after="0"/>
              <w:rPr>
                <w:sz w:val="20"/>
                <w:szCs w:val="20"/>
                <w:color w:val="auto"/>
              </w:rPr>
            </w:pPr>
            <w:r>
              <w:rPr>
                <w:rFonts w:ascii="Arial" w:cs="Arial" w:eastAsia="Arial" w:hAnsi="Arial"/>
                <w:sz w:val="18"/>
                <w:szCs w:val="18"/>
                <w:color w:val="auto"/>
              </w:rPr>
              <w:t>2,296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tools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Electronic equipment</w:t>
            </w:r>
          </w:p>
        </w:tc>
        <w:tc>
          <w:tcPr>
            <w:tcW w:w="640" w:type="dxa"/>
            <w:vAlign w:val="bottom"/>
          </w:tcPr>
          <w:p>
            <w:pPr>
              <w:jc w:val="right"/>
              <w:spacing w:after="0"/>
              <w:rPr>
                <w:sz w:val="20"/>
                <w:szCs w:val="20"/>
                <w:color w:val="auto"/>
              </w:rPr>
            </w:pPr>
            <w:r>
              <w:rPr>
                <w:rFonts w:ascii="Arial" w:cs="Arial" w:eastAsia="Arial" w:hAnsi="Arial"/>
                <w:sz w:val="18"/>
                <w:szCs w:val="18"/>
                <w:color w:val="auto"/>
              </w:rPr>
              <w:t>26,708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32,526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4,985</w:t>
            </w:r>
          </w:p>
        </w:tc>
        <w:tc>
          <w:tcPr>
            <w:tcW w:w="12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12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r>
      <w:tr>
        <w:trPr>
          <w:trHeight w:val="216"/>
        </w:trPr>
        <w:tc>
          <w:tcPr>
            <w:tcW w:w="67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182,350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230,549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35,333</w:t>
            </w:r>
          </w:p>
        </w:tc>
        <w:tc>
          <w:tcPr>
            <w:tcW w:w="12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(93,036)</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(119,068)</w:t>
            </w:r>
          </w:p>
        </w:tc>
        <w:tc>
          <w:tcPr>
            <w:tcW w:w="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(18,248)</w:t>
            </w:r>
          </w:p>
        </w:tc>
      </w:tr>
      <w:tr>
        <w:trPr>
          <w:trHeight w:val="216"/>
        </w:trPr>
        <w:tc>
          <w:tcPr>
            <w:tcW w:w="67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89,314</w:t>
            </w: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111,481</w:t>
            </w:r>
          </w:p>
        </w:tc>
        <w:tc>
          <w:tcPr>
            <w:tcW w:w="20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17,085</w:t>
            </w:r>
          </w:p>
        </w:tc>
        <w:tc>
          <w:tcPr>
            <w:tcW w:w="120" w:type="dxa"/>
            <w:vAlign w:val="bottom"/>
            <w:shd w:val="clear" w:color="auto" w:fill="CCEEFF"/>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Depreciation expenses recognized for the years ended December 31, 2018, 2019 and 2020 were RMB24,498, RMB30,819 and RMB32,457 (US$4,974), respectively.</w:t>
      </w:r>
    </w:p>
    <w:p>
      <w:pPr>
        <w:spacing w:after="0" w:line="17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Group entered into capital leases for certain laboratory equipment, electronic equipment and furniture and tools during the years ended December 31, 2019 and 2020. The gross amounts of laboratory equipment, electronic equipment and furniture and tools under capital leases were RMB14,794, RMB3,048 and RMB402, respectively, as of December 31, 2019. The gross amount of laboratory equipment, electronic equipment and furniture and tools under capital leases were RMB14,794 (US$2,267), RMB3,048 (US$467) and RMB402 (US$62), respectively, as of December 31, 2020. The amounts of accumulated depreciation on the assets under capital lease were RMB3,608 and RMB7,455 (US$1,143) as of December 31, 2019 and 2020, respectively.</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future minimum capital lease payments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RMB</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w:t>
            </w: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For the years ending:</w:t>
            </w:r>
          </w:p>
        </w:tc>
        <w:tc>
          <w:tcPr>
            <w:tcW w:w="3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2021</w:t>
            </w:r>
          </w:p>
        </w:tc>
        <w:tc>
          <w:tcPr>
            <w:tcW w:w="3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5,111</w:t>
            </w:r>
          </w:p>
        </w:tc>
        <w:tc>
          <w:tcPr>
            <w:tcW w:w="2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783</w:t>
            </w:r>
          </w:p>
        </w:tc>
      </w:tr>
      <w:tr>
        <w:trPr>
          <w:trHeight w:val="27"/>
        </w:trPr>
        <w:tc>
          <w:tcPr>
            <w:tcW w:w="38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capital lease payments</w:t>
            </w:r>
          </w:p>
        </w:tc>
        <w:tc>
          <w:tcPr>
            <w:tcW w:w="3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5,111</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783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Less: Interest component</w:t>
            </w:r>
          </w:p>
        </w:tc>
        <w:tc>
          <w:tcPr>
            <w:tcW w:w="34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7"/>
        </w:trPr>
        <w:tc>
          <w:tcPr>
            <w:tcW w:w="38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5"/>
              </w:rPr>
              <w:t>Present value of minimum capital lease payments</w:t>
            </w:r>
          </w:p>
        </w:tc>
        <w:tc>
          <w:tcPr>
            <w:tcW w:w="3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4,816</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738</w:t>
            </w:r>
          </w:p>
        </w:tc>
      </w:tr>
      <w:tr>
        <w:trPr>
          <w:trHeight w:val="20"/>
        </w:trPr>
        <w:tc>
          <w:tcPr>
            <w:tcW w:w="38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4140" w:type="dxa"/>
            <w:vAlign w:val="bottom"/>
            <w:gridSpan w:val="3"/>
          </w:tcPr>
          <w:p>
            <w:pPr>
              <w:jc w:val="right"/>
              <w:ind w:right="3580"/>
              <w:spacing w:after="0"/>
              <w:rPr>
                <w:sz w:val="20"/>
                <w:szCs w:val="20"/>
                <w:color w:val="auto"/>
              </w:rPr>
            </w:pPr>
            <w:r>
              <w:rPr>
                <w:rFonts w:ascii="Arial" w:cs="Arial" w:eastAsia="Arial" w:hAnsi="Arial"/>
                <w:sz w:val="18"/>
                <w:szCs w:val="18"/>
                <w:color w:val="auto"/>
              </w:rPr>
              <w:t>F-38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139" w:lineRule="exact"/>
        <w:rPr>
          <w:sz w:val="20"/>
          <w:szCs w:val="20"/>
          <w:color w:val="auto"/>
        </w:rPr>
      </w:pPr>
    </w:p>
    <w:p>
      <w:pPr>
        <w:ind w:left="540" w:hanging="424"/>
        <w:spacing w:after="0"/>
        <w:tabs>
          <w:tab w:leader="none" w:pos="5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consist of the following:</w:t>
      </w:r>
    </w:p>
    <w:p>
      <w:pPr>
        <w:spacing w:after="0" w:line="244"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6350</wp:posOffset>
            </wp:positionV>
            <wp:extent cx="11747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ind w:left="8400"/>
        <w:spacing w:after="0"/>
        <w:tabs>
          <w:tab w:leader="none" w:pos="94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-3175</wp:posOffset>
            </wp:positionV>
            <wp:extent cx="11747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ind w:left="8380"/>
        <w:spacing w:after="0"/>
        <w:tabs>
          <w:tab w:leader="none" w:pos="9100" w:val="left"/>
          <w:tab w:leader="none" w:pos="980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3"/>
          <w:szCs w:val="13"/>
          <w:b w:val="1"/>
          <w:bCs w:val="1"/>
          <w:color w:val="auto"/>
        </w:rPr>
        <w:t>US$</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7"/>
                <w:szCs w:val="17"/>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(1,300)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(2,139)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(328)</w:t>
            </w:r>
          </w:p>
        </w:tc>
      </w:tr>
      <w:tr>
        <w:trPr>
          <w:trHeight w:val="216"/>
        </w:trPr>
        <w:tc>
          <w:tcPr>
            <w:tcW w:w="730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3,457</w:t>
            </w: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120" w:type="dxa"/>
            <w:vAlign w:val="bottom"/>
            <w:shd w:val="clear" w:color="auto" w:fill="CCEEFF"/>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Amortization expenses recognized for the years ended December 31, 2018, 2019 and 2020 were RMB181, RMB540 and RMB852 (US$131), respectively. As of December 31, 2020, estimated amortization expenses of the existing intangible assets for each of the next five years was RMB1,455, RMB1,347, RMB655, nil and nil, respectively.</w:t>
      </w:r>
    </w:p>
    <w:p>
      <w:pPr>
        <w:spacing w:after="0" w:line="328"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 AND 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and other current liabilities consist of the following:</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1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0"/>
              </w:rPr>
              <w:t>As of December 31,</w:t>
            </w:r>
          </w:p>
        </w:tc>
      </w:tr>
      <w:tr>
        <w:trPr>
          <w:trHeight w:val="142"/>
        </w:trPr>
        <w:tc>
          <w:tcPr>
            <w:tcW w:w="34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6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6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820" w:type="dxa"/>
            <w:vAlign w:val="bottom"/>
            <w:tcBorders>
              <w:top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rPr>
              <w:t>RMB</w:t>
            </w:r>
          </w:p>
        </w:tc>
        <w:tc>
          <w:tcPr>
            <w:tcW w:w="52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welfare</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25,366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39,497</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6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Interests payable</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593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Accrued reimbursement expenses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25,991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6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Professional service fees</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9,707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5,695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873</w:t>
            </w:r>
          </w:p>
        </w:tc>
        <w:tc>
          <w:tcPr>
            <w:tcW w:w="6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taxes and surcharge</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60" w:type="dxa"/>
            <w:vAlign w:val="bottom"/>
            <w:shd w:val="clear" w:color="auto" w:fill="CCEEFF"/>
          </w:tcPr>
          <w:p>
            <w:pPr>
              <w:spacing w:after="0"/>
              <w:rPr>
                <w:sz w:val="18"/>
                <w:szCs w:val="18"/>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Others</w:t>
            </w:r>
          </w:p>
        </w:tc>
        <w:tc>
          <w:tcPr>
            <w:tcW w:w="36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4,765</w:t>
            </w:r>
          </w:p>
        </w:tc>
        <w:tc>
          <w:tcPr>
            <w:tcW w:w="2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60" w:type="dxa"/>
            <w:vAlign w:val="bottom"/>
          </w:tcPr>
          <w:p>
            <w:pPr>
              <w:spacing w:after="0"/>
              <w:rPr>
                <w:sz w:val="19"/>
                <w:szCs w:val="19"/>
                <w:color w:val="auto"/>
              </w:rPr>
            </w:pPr>
          </w:p>
        </w:tc>
      </w:tr>
      <w:tr>
        <w:trPr>
          <w:trHeight w:val="216"/>
        </w:trPr>
        <w:tc>
          <w:tcPr>
            <w:tcW w:w="34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54,059</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83,648</w:t>
            </w:r>
          </w:p>
        </w:tc>
        <w:tc>
          <w:tcPr>
            <w:tcW w:w="2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12,820</w:t>
            </w:r>
          </w:p>
        </w:tc>
        <w:tc>
          <w:tcPr>
            <w:tcW w:w="60" w:type="dxa"/>
            <w:vAlign w:val="bottom"/>
            <w:shd w:val="clear" w:color="auto" w:fill="CCEEFF"/>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4200" w:type="dxa"/>
            <w:vAlign w:val="bottom"/>
            <w:gridSpan w:val="2"/>
          </w:tcPr>
          <w:p>
            <w:pPr>
              <w:jc w:val="right"/>
              <w:ind w:right="2761"/>
              <w:spacing w:after="0"/>
              <w:rPr>
                <w:sz w:val="20"/>
                <w:szCs w:val="20"/>
                <w:color w:val="auto"/>
              </w:rPr>
            </w:pPr>
            <w:r>
              <w:rPr>
                <w:rFonts w:ascii="Arial" w:cs="Arial" w:eastAsia="Arial" w:hAnsi="Arial"/>
                <w:sz w:val="18"/>
                <w:szCs w:val="18"/>
                <w:color w:val="auto"/>
              </w:rPr>
              <w:t>F-39</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139"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10</w:t>
        <w:tab/>
        <w:t>BORROWINGS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Short-term borrowings</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In November 2020, the Group entered into a one-year loan agreement with Industrial and Commercial Bank of China, pursuant to which the Group may borrow up to RMB5,000 with a fixed annual interest rate of 3.60%. The loan was intended for general working capital purposes. In December 2020, the Group drew down RMB5,000 (US$767).</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December 31, 2020, the short-term borrowings also included RMB2,370 (US$363) RMB denominated loans from two third-party individuals with interest rate of 5% per annum. These loans are unsecured and repayable on demand.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borrowings</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July 2018, the Group entered into a banking facility agreement with SPD Silicon Valley Bank, pursuant to which the Group was entitled to borrow up to RMB80,000 at varying rates. The first RMB 10,000 of the facility had an annual interest rate of 6.5% and secured by accounts receivable of RMB34,807. The remaining RMB70,000 of the facility had an annual interest rate of 7.0%. The loan was intended for general working capital purposes. In 2018, the Group drew down RMB77,455 which was due in July 2020. In 2019, the Group early repaid the principal of RMB46,966. The Group repaid the remaining principal of RMB30,489 (US$4,637) during the year ended December 31, 2020</w:t>
      </w:r>
    </w:p>
    <w:p>
      <w:pPr>
        <w:spacing w:after="0" w:line="176"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In September 2019, the Group entered into a banking facility agreement for a term of two years with China Merchants Bank, pursuant to which the Group is entitled to borrow up to RMB33,000 at an interest rate separately agreed with the bank at each time of drawdown. The loan was intended for general working capital purposes. In December 2019, the Group drew down RMB14,720 at a fixed annual interest rate of 4.28% which is due in September 2021, and the Group repaid the principal of RMB1,500 (US$230). During the year ended December 31, 2020, the Group drew down an additional RMB18,208 (US$2,790) at a fixed annual interest rate of 4.28% which is due in September 2021. To date the Group repaid RMB1,780 (US$273) in total principal.</w:t>
      </w:r>
    </w:p>
    <w:p>
      <w:pPr>
        <w:spacing w:after="0" w:line="192"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In May 2018, the Group entered into two 3-year financing arrangements with Zhongguancun Technology Leasing Co., Ltd., which bore interest of an interest rate of 5.8% and were secured by certain machinery and laboratory equipment with an original cost of RMB32,405.</w:t>
      </w:r>
    </w:p>
    <w:p>
      <w:pPr>
        <w:spacing w:after="0" w:line="14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As of December 31, 2020, a total amount of RMB34,695 (US$5,317) repayable within twelve months was classified as “Current portion of long-term borrowings”.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139"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11</w:t>
        <w:tab/>
        <w:t>CONVERTIBLE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A+ convertible notes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August 2015, the Group issued four convertible notes for an aggregate principal amount of US$7,900. In March 2016, the Group issued an additional convertible note for an aggregate principal amount of US$100 (collectively, the “Series A+ Notes”). The key features of the Series A+ Notes are as follows: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Series A+ Notes bear interest of a simple interest rate of 15% annually on any unpaid principal.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features and rates</w:t>
      </w:r>
    </w:p>
    <w:p>
      <w:pPr>
        <w:spacing w:after="0" w:line="117"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The Series A+ Notes are convertible into the Company’s Series B convertible preferred shares (“Series B Preferred Shares”) at the option of the holders upon completion of the sale of the Company’s Series B Preferred Shares (the “Series B Financing”). The number of the Series B Preferred Shares to be issued upon such conversion is equal to the principal and all accumulated but unpaid interest divided by the price per share of the equity securities equal to 95% of the price per share applicable to other investors participating in the Series B Financing.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outstanding principal and any accrued but unpaid interest will become due and payable in full at the earlier of i) the first anniversary of the issuance date and ii) upon the occurrence of any of events of default. The redemption date will be automatically extended by six months if the Group does not complete its Series B Financing by the first anniversary of the issuance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A+ supplementary convertible note</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August 2016, the Group issued a convertible note (“Series A+ Supplementary Note”) for a principal amount of US$8,000. The key features of the Series A+ Supplementary Note were identical to the Series A+ Notes, except the Series A Supplementary Notes accrued interest at 20% per annum and there was no discount on the per share conversion price.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080"/>
          </w:cols>
          <w:pgMar w:left="320" w:top="459"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11</w:t>
        <w:tab/>
        <w:t>CONVERTIBLE NOTES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B Convertible Note</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January 2017 and May 2017, the Group issued two convertible notes (“Series B Notes”) for an aggregate principal amount of US$17,000. The key features of the Series B Notes are as follows: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Series B convertible notes bears simple interest at 9% on any unpaid principal.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features and rates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Series B Notes is convertible into the Group’s Series C convertible preferred shares (“Series C Preferred Shares”) at the option of the holders upon completion of the sale of the Group’s Series C Preferred Shares (the “Series C Financing”). The number of the Series C Preferred Shares to be issued upon such conversion is equal to the principal and all accumulated but unpaid interest divided by the price per share of the equity securities equal to 95% of the price per share applicable to other investors participating in the Series C Financing.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outstanding principal and any accrued but unpaid interest will become due and payable in full at the earlier of i) the second anniversary of the issuance date and ii) upon the occurrence of any of events of default. The redemption date will be automatically extended by six months if the Group does not complete its Series C Financing by the second anniversary of the issuance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for the Series A+, Series A+ Supplementary and Series B Notes</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Series A+, Series A+ Supplementary and Series B Notes (collectively, the “Convertible Notes”) were recorded as liabilities carried at amortized cost. As the Convertible Notes will be share settled by a number of shares with a fair value equal to a fixed settlement amount, the settlement is not viewed as a conversion feature but as a redemption feature because the settlement amount does not vary with the share price. The in-substance redemption feature did not require bifurcation because it is clearly and closely related to the debt host. Since there is no embedded conversion feature, no beneficial conversion feature (“BCF”) was recorded. There were no other embedded derivatives that are required to be bifurcated.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January 2017, certain holders converted the Series A+ Notes and the Series A+ Supplementary Note with aggregate principal and accrued interest of RMB110,485 into 4,063,310 Series B Preferred Shares. No gain or loss was recognized from the conversion.</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January 2019, holder converted the Series B Notes with aggregate principal and accrued interest of RMB127,982 into 2,033,485 Series C Preferred Shares. No gain or loss was recognized from the conversion.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Repayment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January 2017, the Group repaid the remaining Series A+ Note with the aggregate principal and unpaid interest of US$2,502.</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00"/>
          </w:cols>
          <w:pgMar w:left="320" w:top="459" w:right="5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139"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12</w:t>
        <w:tab/>
        <w:t>CONVERTIBLE PREFERRED SHARES AND WARRANT</w:t>
      </w:r>
    </w:p>
    <w:p>
      <w:pPr>
        <w:spacing w:after="0" w:line="12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In June 2014, the Group issued 22,714,874 Series A redeemable convertible preferred shares (“Series A Preferred Shares”) to certain investors at US$0.24 per share for a total cash consideration of US$5,459.</w:t>
      </w:r>
    </w:p>
    <w:p>
      <w:pPr>
        <w:spacing w:after="0" w:line="170"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In August 2015 and August 2016, the Group issued 10,599,927 Series A+ redeemable convertible preferred shares (“Series A+ Preferred Shares”) in aggregate to certain investors at US$1.26 per share for a total consideration of US$13,356. In January 2017, the Group issued additional 130,511 Series A+ Preferred Shares to an existing Series A+ Preferred Share holder at US$1.66 per share for total consideration of US$217.</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January 2017, the Group issued 7,020,059 Series B redeemable convertible preferred shares (“Series B Preferred Shares”) to certain investors at</w:t>
      </w:r>
    </w:p>
    <w:p>
      <w:pPr>
        <w:spacing w:after="0" w:line="46"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US$3.96 per share for a total consideration of US$27,812. Concurrently the Group issued 4,063,310 Series B Preferred Shares to certain investors upon conversion of the Group’s Series A+ convertible notes (Note 11).</w:t>
      </w:r>
    </w:p>
    <w:p>
      <w:pPr>
        <w:spacing w:after="0" w:line="18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May 2017 and December 2018, the Group issued 1,685,348 Series B Preferred Shares in aggregate at US$3.96 per share for a total consideration of US$6,677.</w:t>
      </w:r>
    </w:p>
    <w:p>
      <w:pPr>
        <w:spacing w:after="0" w:line="170"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 January 2019, the Group issued 10,238,825 Series C redeemable convertible preferred shares (“Series C Preferred Shares”) to certain investors at US$9.39 per share for total consideration of US$96,144. Concurrently, the Group issued 2,033,485 Series C Preferred Shares to certain investors upon conversion of the Group’s Series B convertible notes (Note 11). In October 2019, the Group issued 231,198 Series C Preferred Shares to several investors for a total consideration of US$2,171 at US$9.39 per share. In December 2019, the Group issued 21,299 Series C Preferred Shares to an investor for total consideration of US$200 at US$9.39 per share.</w:t>
      </w:r>
    </w:p>
    <w:p>
      <w:pPr>
        <w:spacing w:after="0" w:line="176"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 January 2020, the Group issued 1,064,950 Series C redeemable convertible preferred shares (“Series C Preferred Shares”) to an investor upon the exercise of a Series C Warrant issued in January 2019 along with the issuance of Series C Preferred Shares. As of September 30, 2020, there were no warrants outstanding.</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January 2020, the Group issued 2,129,472 Series C+ redeemable convertible preferred shares (“Series C+ Preferred Shares”) at US$13.62 per share for a total consideration of US$29,000.</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number of issued and outstanding preferred shares and the issuance price per share presented in the financial statements were retrospectively adjusted upon the Company’s 2 for 1 Reverse Share Split. The Series A, Series A+, Series B, Series C and Series C+ Preferred Shares are collectively referred to as the “Preferred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Each holder of the Preferred Shares (collectively, the “Preferred Shareholders”) will be entitled to receive on a pari-passu basis, non-cumulative dividends when declared by the Board of Directors prior and in preference to ordinary shareholders. After the dividends to the relating to the Preferred Shares have been paid in full, each ordinary shareholder will be entitled to receive dividends payable in cash out of any remaining funds that are legally available when declared by the Board of Directors. No dividend or other distribution will be made or declared on the Company’s ordinary shares or any future series of preferred shares, unless and until an equivalent dividend is declared or paid on each outstanding Preferred Shares on an as-if converted basis.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dividend was declared during the years presented.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40"/>
          </w:cols>
          <w:pgMar w:left="320" w:top="459" w:right="5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12</w:t>
        <w:tab/>
        <w:t>CONVERTIBLE PREFERRED SHARES AND WARRANT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Each Preferred Shareholder is entitled to the number of votes equal to the number of common shares into which such Preferred Shares could be converted at the voting date. Preferred shareholders will vote together with common shareholders, and not as a separate class of series, on all matters put before the shareholders.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the event of any liquidation, dissolution or winding up of the Company or any deemed liquidation event defined as the liquidation, dissolution, acquisition, change of control or winding-up of the Company, the assets or surplus funds of the Company available for distribution will be distributed as follows:</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Series C preferred shareholders are entitled to receive an amount equal to 120% of the Series C Issue Price (as adjusted for share splits, share dividends or similar transactions), plus all accrued but unpaid dividends, in preference to any distribution to the holders of the Series A, Series A+ and Series B preferred shares and the common shareholders of the Company.</w:t>
      </w:r>
    </w:p>
    <w:p>
      <w:pPr>
        <w:spacing w:after="0" w:line="184"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After the payment to the holders of Series C preferred shares, the Series B preferred shareholders are entitled to receive an amount equal to 150% of the Series B Issue Price (as adjusted for share splits, share dividends or similar transactions), plus all accrued but unpaid dividends, in preference to any distribution to the holders of the Series A, Series A+ preferred shares and the common shareholders of the Company.</w:t>
      </w:r>
    </w:p>
    <w:p>
      <w:pPr>
        <w:spacing w:after="0" w:line="165"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After the payment to the holders of Series C and Series B preferred shares, the Series A+ and Series A preferred shareholders are entitled to receive an amount equal to 150% of the Series A+ and Series A Issue Price on pari-passu basis (as adjusted for share splits, share dividends or similar transactions), respectively, plus all accrued but unpaid dividend, in preference to any distribution to the holders of the common shareholders of the Company.</w:t>
      </w:r>
    </w:p>
    <w:p>
      <w:pPr>
        <w:spacing w:after="0" w:line="187"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color w:val="auto"/>
        </w:rPr>
        <w:t>After payment has been made to the Preferred Shareholders in accordance with the above, the remaining assets of the Company available for distribution to shareholders will be distributed to on pari-passu basis among the holders of common shares and holders of Preferred Shares on as converted basis.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Each Preferred Shareholder has the right, at the sole discretion of the holder, to convert at any time and from time to time, all or any portion of the Preferred Shares into common shares based on the then-effective conversion price. The initial conversion ratio shall be on a one for one basis, subject to certain anti-dilution adjustments.</w:t>
      </w:r>
    </w:p>
    <w:p>
      <w:pPr>
        <w:spacing w:after="0" w:line="184" w:lineRule="exact"/>
        <w:rPr>
          <w:sz w:val="20"/>
          <w:szCs w:val="20"/>
          <w:color w:val="auto"/>
        </w:rPr>
      </w:pPr>
    </w:p>
    <w:p>
      <w:pPr>
        <w:jc w:val="center"/>
        <w:ind w:right="80"/>
        <w:spacing w:after="0" w:line="449" w:lineRule="auto"/>
        <w:rPr>
          <w:sz w:val="20"/>
          <w:szCs w:val="20"/>
          <w:color w:val="auto"/>
        </w:rPr>
      </w:pPr>
      <w:r>
        <w:rPr>
          <w:rFonts w:ascii="Arial" w:cs="Arial" w:eastAsia="Arial" w:hAnsi="Arial"/>
          <w:sz w:val="18"/>
          <w:szCs w:val="18"/>
          <w:color w:val="auto"/>
        </w:rPr>
        <w:t>All Preferred Shares are converted automatically into ordinary shares at the then effective applicable conversion price in the event of a Qualified IPO. F-44</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12</w:t>
        <w:tab/>
        <w:t>CONVERTIBLE PREFERRED SHARES AND WARRANT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Series A Preferred Shares are redeemable at the holders’ option at any time beginning on the sixth anniversary of the original Series A issue date at the redemption price equal to 200% of the original issue price plus all accrued but unpaid dividends.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Series A+ Preferred Shares are redeemable at the holders’ option at any time beginning on the sixth anniversary of the original Series A+ issue date at the redemption price equal to the original issue price (as adjusted for share splits, share dividends or similar transactions) plus 12% annual interest, and all accrued but unpaid dividends. The redemption price of the Series A Preferred Shares was modified to be the same as that of Series A+ Preferred Shares upon the issuance of Series A+ Preferred Shares.</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Series B Preferred Shares are redeemable at the holders’ option at any time beginning on the fifth anniversary of the original Series B issue date at the redemption price equal to the original issue price (as adjusted for share splits, share dividends or similar transactions) plus 12% annual interest, and all accrued but unpaid dividends. The redemption date of the Series A and A+ Preferred Shares was modified to be the same as that of Series B Preferred Shares upon the issuance of Series B Preferred Shares.</w:t>
      </w:r>
    </w:p>
    <w:p>
      <w:pPr>
        <w:spacing w:after="0" w:line="18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Series C Preferred Shares are redeemable at the holders’ option at any time beginning on the third anniversary of the original Series C issue date at the redemption price equal to the original issue price (as adjusted for share splits, share dividends or similar transactions) plus 12% annual interest, and all accrued but unpaid dividends.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C Warrant</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Concurrent with the Series C financing the Group issued a Series C Warrant to one investors at nil consideration that allowed the holder to purchase 1,064,950 Series C convertible redeemable preferred shares at an exercise price of US$9.39 per share. On January 22, 2020, the holder of the Series C Warrant fully exercised its Series C Warrant.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60"/>
          </w:cols>
          <w:pgMar w:left="320" w:top="459" w:right="5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12</w:t>
        <w:tab/>
        <w:t>CONVERTIBLE PREFERRED SHARES AND WARRANT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Initial measurement and subsequent accounting for Preferred Shares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Preferred Shares are initially classified as mezzanine equity in the consolidated balance sheets as these Preferred Shares may be redeemed at the option of the holders on or after an agreed upon date outside the sole control of the Group or upon a deemed liquidation event. All the Preferred Shares are initially measured at fair value. The holders of the Preferred Shares have the ability to convert the instrument into the Company’s ordinary shares. The Group evaluated the embedded conversion option in the Preferred Shares to determine if there were any embedded derivatives requiring bifurcation and to determine if there were any beneficial conversion features (“BCF”). There were no embedded derivatives that are required to be bifurcated. The conversion option of the Preferred Shares is not bifurcated because the conversion option is clearly and closely related to the host equity instrument. The contingent redemption options of the Preferred Shares are not bifurcated because the underlying ordinary shares are not net settable since the Preferred Shares were neither publicly traded nor readily convertible into cash.</w:t>
      </w:r>
    </w:p>
    <w:p>
      <w:pPr>
        <w:spacing w:after="0" w:line="178"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No BCF was recognized for the Preferred Shares as the fair value per ordinary share at the commitment date was less than the respective most favorable conversion price. The Group determined the fair value of common shares with the assistance of an independent third-party appraiser.</w:t>
      </w:r>
    </w:p>
    <w:p>
      <w:pPr>
        <w:spacing w:after="0" w:line="14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amendment to the redemption price for the Series A Preferred Shares upon the issuance of the Series A+ Preferred Shares and the amendment to the redemption date of the Series A and A+ Preferred Shares upon the issuance of the Series B Preferred Shares are accounted for as modifications as the fair values of Series A and A+ Preferred Shares immediately after the amendments were not significantly different from their respective fair values immediately before the amendment. The incremental fair value of Series A and A+ Preferred Shares as a result of the modifications was immaterial.</w:t>
      </w:r>
    </w:p>
    <w:p>
      <w:pPr>
        <w:spacing w:after="0" w:line="15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Group elected to recognize the changes in redemption value as they occur and adjust the carrying amount of the Preferred Shares to equal the redemption value at each reporting period. Accretion charges were recorded as an increase to the net loss attributable to ordinary shareholders for the years presented.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Preferred Shares were converted to ordinary shares immediately upon the completion of the Company’s IPO on June 12,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changes in the carrying values of the Preferred Shares and the corresponding accretion in the periods presented are as follows: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12</w:t>
        <w:tab/>
        <w:t>CONVERTIBLE PREFERRED SHARES AND WARRANT (CONTINUED)</w:t>
      </w:r>
    </w:p>
    <w:p>
      <w:pPr>
        <w:spacing w:after="0" w:line="200" w:lineRule="exact"/>
        <w:rPr>
          <w:sz w:val="20"/>
          <w:szCs w:val="20"/>
          <w:color w:val="auto"/>
        </w:r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Arial" w:cs="Arial" w:eastAsia="Arial" w:hAnsi="Arial"/>
                <w:sz w:val="14"/>
                <w:szCs w:val="14"/>
                <w:b w:val="1"/>
                <w:bCs w:val="1"/>
                <w:color w:val="auto"/>
              </w:rPr>
              <w:t>Mezzanine equity</w:t>
            </w:r>
          </w:p>
        </w:tc>
        <w:tc>
          <w:tcPr>
            <w:tcW w:w="14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7"/>
              </w:rPr>
              <w:t>Series A</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9"/>
              </w:rPr>
              <w:t>Series A+</w:t>
            </w:r>
          </w:p>
        </w:tc>
        <w:tc>
          <w:tcPr>
            <w:tcW w:w="9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3"/>
              </w:rPr>
              <w:t>Series B</w:t>
            </w:r>
          </w:p>
        </w:tc>
        <w:tc>
          <w:tcPr>
            <w:tcW w:w="9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3"/>
              </w:rPr>
              <w:t>Series C</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2"/>
              </w:rPr>
              <w:t>Series C+</w:t>
            </w:r>
          </w:p>
        </w:tc>
        <w:tc>
          <w:tcPr>
            <w:tcW w:w="96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r>
      <w:tr>
        <w:trPr>
          <w:trHeight w:val="180"/>
        </w:trPr>
        <w:tc>
          <w:tcPr>
            <w:tcW w:w="4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7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7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7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5"/>
                <w:szCs w:val="15"/>
                <w:color w:val="auto"/>
              </w:rPr>
            </w:pPr>
          </w:p>
        </w:tc>
        <w:tc>
          <w:tcPr>
            <w:tcW w:w="72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5"/>
                <w:szCs w:val="15"/>
                <w:color w:val="auto"/>
              </w:rPr>
            </w:pPr>
          </w:p>
        </w:tc>
        <w:tc>
          <w:tcPr>
            <w:tcW w:w="84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5"/>
                <w:szCs w:val="15"/>
                <w:color w:val="auto"/>
              </w:rPr>
            </w:pPr>
          </w:p>
        </w:tc>
      </w:tr>
      <w:tr>
        <w:trPr>
          <w:trHeight w:val="70"/>
        </w:trPr>
        <w:tc>
          <w:tcPr>
            <w:tcW w:w="4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48,985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108,764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382,893</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540,642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Issuance of Series B preferred shares</w:t>
            </w:r>
          </w:p>
        </w:tc>
        <w:tc>
          <w:tcPr>
            <w:tcW w:w="14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Accretion of Preferred Shares</w:t>
            </w:r>
          </w:p>
        </w:tc>
        <w:tc>
          <w:tcPr>
            <w:tcW w:w="2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4,346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39,731</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54,849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Repurchase of Preferred Shares</w:t>
            </w:r>
          </w:p>
        </w:tc>
        <w:tc>
          <w:tcPr>
            <w:tcW w:w="14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(1,373)</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(1,373)</w:t>
            </w:r>
          </w:p>
        </w:tc>
      </w:tr>
      <w:tr>
        <w:trPr>
          <w:trHeight w:val="115"/>
        </w:trPr>
        <w:tc>
          <w:tcPr>
            <w:tcW w:w="4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2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53,331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118,163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424,624</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596,118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Issuance of Series C preferred shares</w:t>
            </w:r>
          </w:p>
        </w:tc>
        <w:tc>
          <w:tcPr>
            <w:tcW w:w="14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766,127</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766,127</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Accretion of Preferred Shares</w:t>
            </w:r>
          </w:p>
        </w:tc>
        <w:tc>
          <w:tcPr>
            <w:tcW w:w="2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4,518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42,359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106,932</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165,011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Repurchase of Preferred Shares</w:t>
            </w:r>
          </w:p>
        </w:tc>
        <w:tc>
          <w:tcPr>
            <w:tcW w:w="14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(223)</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r>
      <w:tr>
        <w:trPr>
          <w:trHeight w:val="115"/>
        </w:trPr>
        <w:tc>
          <w:tcPr>
            <w:tcW w:w="4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2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57,849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129,142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466,983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873,059</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1,527,033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Issuance of Series C preferred shares</w:t>
            </w:r>
          </w:p>
        </w:tc>
        <w:tc>
          <w:tcPr>
            <w:tcW w:w="14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201,118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201,118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Exercise of Series C Warrant</w:t>
            </w:r>
          </w:p>
        </w:tc>
        <w:tc>
          <w:tcPr>
            <w:tcW w:w="1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88,593</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88,593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Accretion of Preferred Shares</w:t>
            </w:r>
          </w:p>
        </w:tc>
        <w:tc>
          <w:tcPr>
            <w:tcW w:w="2280" w:type="dxa"/>
            <w:vAlign w:val="bottom"/>
            <w:gridSpan w:val="3"/>
          </w:tcPr>
          <w:p>
            <w:pPr>
              <w:jc w:val="right"/>
              <w:ind w:right="220"/>
              <w:spacing w:after="0"/>
              <w:rPr>
                <w:sz w:val="20"/>
                <w:szCs w:val="20"/>
                <w:color w:val="auto"/>
              </w:rPr>
            </w:pPr>
            <w:r>
              <w:rPr>
                <w:rFonts w:ascii="Arial" w:cs="Arial" w:eastAsia="Arial" w:hAnsi="Arial"/>
                <w:sz w:val="18"/>
                <w:szCs w:val="18"/>
                <w:color w:val="auto"/>
              </w:rPr>
              <w:t>2,068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5,074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19,167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28,061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10,318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64,688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Series C preferred shares</w:t>
            </w:r>
          </w:p>
        </w:tc>
        <w:tc>
          <w:tcPr>
            <w:tcW w:w="1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(3,727)</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Conversion to ordinary shares</w:t>
            </w:r>
          </w:p>
        </w:tc>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(59,917)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(134,216)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(486,150)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(985,986)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(211,436)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(1,877,705)</w:t>
            </w:r>
          </w:p>
        </w:tc>
      </w:tr>
      <w:tr>
        <w:trPr>
          <w:trHeight w:val="115"/>
        </w:trPr>
        <w:tc>
          <w:tcPr>
            <w:tcW w:w="4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4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4120" w:type="dxa"/>
            <w:vAlign w:val="bottom"/>
          </w:tcPr>
          <w:p>
            <w:pPr>
              <w:spacing w:after="0"/>
              <w:rPr>
                <w:sz w:val="20"/>
                <w:szCs w:val="20"/>
                <w:color w:val="auto"/>
              </w:rPr>
            </w:pPr>
            <w:r>
              <w:rPr>
                <w:rFonts w:ascii="Arial" w:cs="Arial" w:eastAsia="Arial" w:hAnsi="Arial"/>
                <w:sz w:val="18"/>
                <w:szCs w:val="18"/>
                <w:color w:val="auto"/>
              </w:rPr>
              <w:t>Balance as of December 31, 2020 (US$)</w:t>
            </w:r>
          </w:p>
        </w:tc>
        <w:tc>
          <w:tcPr>
            <w:tcW w:w="1440" w:type="dxa"/>
            <w:vAlign w:val="bottom"/>
          </w:tcPr>
          <w:p>
            <w:pPr>
              <w:spacing w:after="0"/>
              <w:rPr>
                <w:sz w:val="24"/>
                <w:szCs w:val="2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120" w:type="dxa"/>
            <w:vAlign w:val="bottom"/>
          </w:tcPr>
          <w:p>
            <w:pPr>
              <w:spacing w:after="0"/>
              <w:rPr>
                <w:sz w:val="24"/>
                <w:szCs w:val="24"/>
                <w:color w:val="auto"/>
              </w:rPr>
            </w:pPr>
          </w:p>
        </w:tc>
        <w:tc>
          <w:tcPr>
            <w:tcW w:w="2280" w:type="dxa"/>
            <w:vAlign w:val="bottom"/>
            <w:gridSpan w:val="3"/>
          </w:tcPr>
          <w:p>
            <w:pPr>
              <w:jc w:val="right"/>
              <w:ind w:right="720"/>
              <w:spacing w:after="0"/>
              <w:rPr>
                <w:sz w:val="20"/>
                <w:szCs w:val="20"/>
                <w:color w:val="auto"/>
              </w:rPr>
            </w:pPr>
            <w:r>
              <w:rPr>
                <w:rFonts w:ascii="Arial" w:cs="Arial" w:eastAsia="Arial" w:hAnsi="Arial"/>
                <w:sz w:val="18"/>
                <w:szCs w:val="18"/>
                <w:color w:val="auto"/>
              </w:rPr>
              <w:t>F-47</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12</w:t>
        <w:tab/>
        <w:t>CONVERTIBLE PREFERRED SHARES AND WARRANT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Repurchase of preferred shares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Group repurchased 124,985, 15,784, 4,438 Series A+ Preferred Shares, and 55,243 Series C Preferred Shares in December 2018, January 2019, October 2019 and May 2020 at considerations of RMB1,500, RMB1,000, RMB294 and RMB3,500, respectively. The Group accounted for the differences between the consideration paid and the fair value of the Series A+ Preferred Shares of nil, RMB611, RMB160, respectively, as compensation expenses relating to the employee shareholder of BRT Bio Tech Limited for the year ended December 31, 2019. The Group accounted for the differences between the fair value and the carrying value of the Series A+ repurchased of RMB127, RMB216 and RMB84, respectively, as equity transactions in the statements of shareholders’ deficit for the year ended December 31, 2019. The Group accounted for the differences between the fair value and the carrying value of the Series C Preferred Shares repurchased of RMB227 as equity transactions in the statements of shareholders’ equity for the year ended December 31,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Initial measurement and subsequent accounting for warrant liability</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warrant is a freestanding instrument and recorded as a liability in accordance with ASC480. The warrant is initially recognized at fair value, with subsequent changes in fair value recorded in losses. The Series C Preferred Shares was initially recorded as mezzanine equity equal to the proceeds received of RMB766,127, net of the warrant fair value of RMB19,821 on January 31, 2019. The Company recognized a gain from the decrease in fair value of RMB3,503 (US$537) for the year ended December 31, 2020. The Company recognized a loss from the increase in fair value of RMB2,839 for the year ended December 31, 2019.</w:t>
      </w:r>
    </w:p>
    <w:p>
      <w:pPr>
        <w:spacing w:after="0" w:line="188"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The fair value of the warrant is measured using significant unobservable (Level 3) inputs. The Group estimated the fair value of the warrant as of December 31, 2019 using the Black-Scholes option pricing model, based on the remaining contractual term of the warrants, risk-free interest rate and expected volatility of the price of the underlying Preferred Shares. The assumptions used, including the market value of the underlying Series C Preferred Shares and the expected volatility were subjective unobservable inputs. Significant increases (decreases) in the inputs used in the fair value measurement of the Level 3 warrant in isolation would result in a significant lower (higher) fair value measurement.</w:t>
      </w:r>
    </w:p>
    <w:p>
      <w:pPr>
        <w:spacing w:after="0" w:line="32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13</w:t>
        <w:tab/>
        <w:t>SHARE-BASED COMPENSATION</w:t>
      </w:r>
    </w:p>
    <w:p>
      <w:pPr>
        <w:spacing w:after="0" w:line="12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On June 20, 2014, the shareholders and Board of Directors (the “Board”) of the Company approved a resolution to reserve a total of 3,001,365 ordinary shares of the Company for the purpose of issuing share options awards to its eligible employees, officers or directors of the Group (the “Pre-IPO Plan”). On August 20, 2016, the shareholders and the Board approved a resolution to increase share option pool to 3,690,599. On April 19, 2018, the shareholders and the Board further approved a resolution to increase share option pool up to 5,290,234.Awards under the Pre-IPO Plan generally have vest over a period of 3 to 4 years and a contractual life of 10 years. The Company granted 652,723, 1,273,346 and 296,327 options under the Pre-IPO Plan for the years ended December 31, 2018, 2019 and 2020, respectively.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62"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In January 2019, the shareholders and the Board of Directors of the Company approved a Management Share Incentive plan (“Management Plan”) for key executive management personnel. Under the Management Plan, the maximum number of ordinary shares reserved for issuance under is 5% of the total outstanding number of shares of the Company on an as converted and fully diluted basis (after taking into account the options granted under the plan). Awards under the Management Plan have vest over a period of 4 years and have a contractual life of 10 years. The Company granted 5,475,393 options under the Management Plan for the year ended December 31, 2020.</w:t>
      </w:r>
    </w:p>
    <w:p>
      <w:pPr>
        <w:spacing w:after="0" w:line="17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May 2020, the shareholders and the Board of Directors of the Company approved an equity incentive plan (“2020 Plan”). Under the 2020 Plan, the Company is authorized to grant options, restricted shares and restricted share units for which the maximum aggregate number of ordinary shares which may be issued pursuant to all awards is 4,512,276 ordinary shares. Awards under the 2020 Plan have vest over a period of 4 years and have a contractual life of 10 years. The Company granted 4,848 restricted shares units under the 2020 Plan for the year ended December 31, 2020.</w:t>
      </w:r>
    </w:p>
    <w:p>
      <w:pPr>
        <w:spacing w:after="0" w:line="15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As of December 31, 2020, there were 847,415, 111,742 and 4,507,428 awards available for future grant for the Pre-IPO Plan, Management Plan and 2020 Plan,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Board determines the exercise price, vesting and other conditions of individual awards and are subject to multiple service vesting periods. The options granted vests over various vesting schedules with no more than four years.</w:t>
      </w:r>
    </w:p>
    <w:p>
      <w:pPr>
        <w:spacing w:after="0" w:line="170"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Prior to the IPO, the Group determined the fair value of its share-based payment awards using the binomial option valuation model with assistance from an independent third-party appraiser. Upon completion of the IPO, the Group determined the fair value of share-based payment awards using the Black-Scholes model. The binomial and Black-Scholes models require subjective assumptions, including the grant date fair value of the ordinary shares, expected volatility, exercise multiple, risk-free rate and dividend yield. Prior to the IPO, the Group estimated grant date fair value of its ordinary shares with assistance from the third-party appraiser. Upon completion of the IPO, the Group used the grant date closing ADS price quoted on NASDAQ exchange to determine the fair value of its ordinary shares. For expected volatility, the Group referenced historical volatility of several comparable peer companies in the same industry. The exercise multiple was estimated as the average ratio of the stock price to the exercise price of when employees would decide to voluntarily exercise their vested options. The risk-free rate for periods within the contractual life of the options is based on the market yield of U.S. Treasury Bonds in effect at the time of grant. The dividend yield is based on management’s expected dividend policy over the contractual life of the options.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assumptions used to estimate the fair values of the share options, restricted shares and restricted share units granted are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406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820" w:type="dxa"/>
            <w:vAlign w:val="bottom"/>
            <w:gridSpan w:val="4"/>
          </w:tcPr>
          <w:p>
            <w:pPr>
              <w:jc w:val="right"/>
              <w:ind w:right="57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2.69% - 3.05%</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- 2.41%</w:t>
            </w:r>
          </w:p>
        </w:tc>
        <w:tc>
          <w:tcPr>
            <w:tcW w:w="1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0.51% - 1.90%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Dividend yield</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820" w:type="dxa"/>
            <w:vAlign w:val="bottom"/>
            <w:gridSpan w:val="4"/>
          </w:tcPr>
          <w:p>
            <w:pPr>
              <w:jc w:val="right"/>
              <w:ind w:right="59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range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46.0% - 47.8%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- 45.4%</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44.9% - 49.3%</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Exercise multiple</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2.20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2.20</w:t>
            </w:r>
          </w:p>
        </w:tc>
        <w:tc>
          <w:tcPr>
            <w:tcW w:w="860" w:type="dxa"/>
            <w:vAlign w:val="bottom"/>
          </w:tcPr>
          <w:p>
            <w:pPr>
              <w:ind w:left="20"/>
              <w:spacing w:after="0"/>
              <w:rPr>
                <w:sz w:val="20"/>
                <w:szCs w:val="20"/>
                <w:color w:val="auto"/>
              </w:rPr>
            </w:pPr>
            <w:r>
              <w:rPr>
                <w:rFonts w:ascii="Arial" w:cs="Arial" w:eastAsia="Arial" w:hAnsi="Arial"/>
                <w:sz w:val="18"/>
                <w:szCs w:val="18"/>
                <w:color w:val="auto"/>
              </w:rPr>
              <w:t>- 2.80</w:t>
            </w:r>
          </w:p>
        </w:tc>
        <w:tc>
          <w:tcPr>
            <w:tcW w:w="1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2.20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10 years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w w:val="98"/>
              </w:rPr>
              <w:t>Fair market value per ordinary share as at valuation</w:t>
            </w: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dates</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US$2.32 - US$3.20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7"/>
              </w:rPr>
              <w:t>US$3.30</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 US$9.41</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US$9.41 - US$27.15</w:t>
            </w:r>
          </w:p>
        </w:tc>
      </w:tr>
      <w:tr>
        <w:trPr>
          <w:trHeight w:val="364"/>
        </w:trPr>
        <w:tc>
          <w:tcPr>
            <w:tcW w:w="4060" w:type="dxa"/>
            <w:vAlign w:val="bottom"/>
          </w:tcPr>
          <w:p>
            <w:pPr>
              <w:spacing w:after="0"/>
              <w:rPr>
                <w:sz w:val="24"/>
                <w:szCs w:val="24"/>
                <w:color w:val="auto"/>
              </w:rPr>
            </w:pPr>
          </w:p>
        </w:tc>
        <w:tc>
          <w:tcPr>
            <w:tcW w:w="1520" w:type="dxa"/>
            <w:vAlign w:val="bottom"/>
          </w:tcPr>
          <w:p>
            <w:pPr>
              <w:ind w:left="400"/>
              <w:spacing w:after="0"/>
              <w:rPr>
                <w:sz w:val="20"/>
                <w:szCs w:val="20"/>
                <w:color w:val="auto"/>
              </w:rPr>
            </w:pPr>
            <w:r>
              <w:rPr>
                <w:rFonts w:ascii="Arial" w:cs="Arial" w:eastAsia="Arial" w:hAnsi="Arial"/>
                <w:sz w:val="18"/>
                <w:szCs w:val="18"/>
                <w:color w:val="auto"/>
              </w:rPr>
              <w:t>F-49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Share options </w:t>
      </w:r>
      <w:r>
        <w:rPr>
          <w:rFonts w:ascii="Arial" w:cs="Arial" w:eastAsia="Arial" w:hAnsi="Arial"/>
          <w:sz w:val="18"/>
          <w:szCs w:val="18"/>
          <w:b w:val="1"/>
          <w:bCs w:val="1"/>
          <w:color w:val="auto"/>
        </w:rPr>
        <w:t>(continued)</w:t>
      </w:r>
    </w:p>
    <w:p>
      <w:pPr>
        <w:spacing w:after="0" w:line="162"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Group recorded compensation costs using the straight-line method for employee award with only service condition and recorded compensation costs on a tranche-by-tranche basis for employee award with service condition and performance condition that has graded vesting schedule over the requisite service period. The share option awards are exercisable up to ten years from the grant date. The following table summarizes the share options activity for the years ended December 31, 2018, 2019 and 2020:</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Weighted-</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remaining</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exercise</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date</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contractual</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2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term</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 per</w:t>
            </w:r>
          </w:p>
        </w:tc>
        <w:tc>
          <w:tcPr>
            <w:tcW w:w="24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 per</w:t>
            </w:r>
          </w:p>
        </w:tc>
        <w:tc>
          <w:tcPr>
            <w:tcW w:w="26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option</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2018</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3,248,211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0.0002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6,739</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0.0002</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2.77</w:t>
            </w:r>
          </w:p>
        </w:tc>
        <w:tc>
          <w:tcPr>
            <w:tcW w:w="96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652,723</w:t>
            </w:r>
          </w:p>
        </w:tc>
        <w:tc>
          <w:tcPr>
            <w:tcW w:w="3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(818,554)</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0.0002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0.61</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Forfeited</w:t>
            </w:r>
          </w:p>
        </w:tc>
        <w:tc>
          <w:tcPr>
            <w:tcW w:w="19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(32,212)</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0.0002</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0.55</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2019</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3,050,168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0.0002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0.97</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9,744</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2.8957</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3.97</w:t>
            </w:r>
          </w:p>
        </w:tc>
        <w:tc>
          <w:tcPr>
            <w:tcW w:w="96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1,273,346</w:t>
            </w:r>
          </w:p>
        </w:tc>
        <w:tc>
          <w:tcPr>
            <w:tcW w:w="3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(1,864,343)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0.0002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0.30</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Forfeited</w:t>
            </w:r>
          </w:p>
        </w:tc>
        <w:tc>
          <w:tcPr>
            <w:tcW w:w="19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(55,372)</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0.0002</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2.90</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2020</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2,403,799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1.5340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20,079</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0.0002</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26.75</w:t>
            </w:r>
          </w:p>
        </w:tc>
        <w:tc>
          <w:tcPr>
            <w:tcW w:w="96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5,771,720</w:t>
            </w:r>
          </w:p>
        </w:tc>
        <w:tc>
          <w:tcPr>
            <w:tcW w:w="3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(233,440)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0.0002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Forfeited</w:t>
            </w:r>
          </w:p>
        </w:tc>
        <w:tc>
          <w:tcPr>
            <w:tcW w:w="19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(121,650)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0.0002</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3.31</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7,820,429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0.4717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176,963</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Vested and expected to vest at December 31, 2020</w:t>
            </w:r>
          </w:p>
        </w:tc>
        <w:tc>
          <w:tcPr>
            <w:tcW w:w="1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0.4717</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21.28</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9.10</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8"/>
              </w:rPr>
              <w:t>176,963</w:t>
            </w: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7,820,429</w:t>
            </w:r>
          </w:p>
        </w:tc>
        <w:tc>
          <w:tcPr>
            <w:tcW w:w="3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2020</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538,300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6.8495</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8,748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480" w:type="dxa"/>
            <w:vAlign w:val="bottom"/>
          </w:tcPr>
          <w:p>
            <w:pPr>
              <w:spacing w:after="0"/>
              <w:rPr>
                <w:sz w:val="24"/>
                <w:szCs w:val="24"/>
                <w:color w:val="auto"/>
              </w:rPr>
            </w:pPr>
          </w:p>
        </w:tc>
        <w:tc>
          <w:tcPr>
            <w:tcW w:w="3080" w:type="dxa"/>
            <w:vAlign w:val="bottom"/>
            <w:gridSpan w:val="3"/>
          </w:tcPr>
          <w:p>
            <w:pPr>
              <w:jc w:val="right"/>
              <w:ind w:right="1880"/>
              <w:spacing w:after="0"/>
              <w:rPr>
                <w:sz w:val="20"/>
                <w:szCs w:val="20"/>
                <w:color w:val="auto"/>
              </w:rPr>
            </w:pPr>
            <w:r>
              <w:rPr>
                <w:rFonts w:ascii="Arial" w:cs="Arial" w:eastAsia="Arial" w:hAnsi="Arial"/>
                <w:sz w:val="18"/>
                <w:szCs w:val="18"/>
                <w:color w:val="auto"/>
              </w:rPr>
              <w:t>F-50</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Share options </w:t>
      </w:r>
      <w:r>
        <w:rPr>
          <w:rFonts w:ascii="Arial" w:cs="Arial" w:eastAsia="Arial" w:hAnsi="Arial"/>
          <w:sz w:val="18"/>
          <w:szCs w:val="18"/>
          <w:b w:val="1"/>
          <w:bCs w:val="1"/>
          <w:color w:val="auto"/>
        </w:rPr>
        <w:t>(continued)</w:t>
      </w:r>
    </w:p>
    <w:p>
      <w:pPr>
        <w:spacing w:after="0" w:line="378"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The aggregate intrinsic value in the table above represents the difference between the exercise price of the awards and the fair value of the underlying ordinary shares at each reporting date for those awards that had exercise price below the estimated fair value of the relevant ordinary shares.</w:t>
      </w:r>
    </w:p>
    <w:p>
      <w:pPr>
        <w:spacing w:after="0" w:line="124" w:lineRule="exact"/>
        <w:rPr>
          <w:sz w:val="20"/>
          <w:szCs w:val="20"/>
          <w:color w:val="auto"/>
        </w:rPr>
      </w:pPr>
    </w:p>
    <w:p>
      <w:pPr>
        <w:ind w:left="120" w:right="580"/>
        <w:spacing w:after="0" w:line="259" w:lineRule="auto"/>
        <w:rPr>
          <w:sz w:val="20"/>
          <w:szCs w:val="20"/>
          <w:color w:val="auto"/>
        </w:rPr>
      </w:pPr>
      <w:r>
        <w:rPr>
          <w:rFonts w:ascii="Arial" w:cs="Arial" w:eastAsia="Arial" w:hAnsi="Arial"/>
          <w:sz w:val="18"/>
          <w:szCs w:val="18"/>
          <w:color w:val="auto"/>
        </w:rPr>
        <w:t>The aggregate fair values of the equity awards vested during the years ended December 31, 2018, 2019 and 2020 were RMB491, RMB9,485 and RMB3,580 (US$549), respectively. As of December 31, 2020, there was total unrecognized employee share-based compensation expense of RMB972,698 (US$149,072) related to unvested options, which may be adjusted for actual forfeitures occurring in the future. Total unrecognized compensation cost is recognized over a weighted-average period of 3.42 years.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shares units</w:t>
      </w:r>
    </w:p>
    <w:p>
      <w:pPr>
        <w:spacing w:after="0" w:line="117"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Board granted restricted share units to one of the board members in June 2020. The Board determined vesting and other conditions of individual awards, which are subject to multiple service vesting periods. The restricted share units vest over a period of two years. The Group determined the fair value of the restricted share units using the grant date closing ADS price quoted on NASDAQ exchange. The Group recognized share-based compensation expenses using the straight-line method over the requisite service period, which is generally the vesting period of the restricted shares units. The restricted shares units are exercisable up to ten years from the grant date. The following table summarizes the restricted shares unit activities for the years ended December 31, 2018, 2019 and 2020:</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remaining</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purchase</w:t>
            </w: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date</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term</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 per</w:t>
            </w:r>
          </w:p>
        </w:tc>
        <w:tc>
          <w:tcPr>
            <w:tcW w:w="34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 per</w:t>
            </w:r>
          </w:p>
        </w:tc>
        <w:tc>
          <w:tcPr>
            <w:tcW w:w="340" w:type="dxa"/>
            <w:vAlign w:val="bottom"/>
          </w:tcPr>
          <w:p>
            <w:pPr>
              <w:spacing w:after="0"/>
              <w:rPr>
                <w:sz w:val="10"/>
                <w:szCs w:val="10"/>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Years</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2018</w:t>
            </w:r>
          </w:p>
        </w:tc>
        <w:tc>
          <w:tcPr>
            <w:tcW w:w="18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Outstanding, January 1, 2019</w:t>
            </w:r>
          </w:p>
        </w:tc>
        <w:tc>
          <w:tcPr>
            <w:tcW w:w="18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8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2020</w:t>
            </w:r>
          </w:p>
        </w:tc>
        <w:tc>
          <w:tcPr>
            <w:tcW w:w="18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2840" w:type="dxa"/>
            <w:vAlign w:val="bottom"/>
            <w:gridSpan w:val="3"/>
          </w:tcPr>
          <w:p>
            <w:pPr>
              <w:spacing w:after="0" w:line="20" w:lineRule="exact"/>
              <w:rPr>
                <w:sz w:val="1"/>
                <w:szCs w:val="1"/>
                <w:color w:val="auto"/>
              </w:rPr>
            </w:pPr>
          </w:p>
        </w:tc>
        <w:tc>
          <w:tcPr>
            <w:tcW w:w="98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24.35</w:t>
            </w:r>
          </w:p>
        </w:tc>
        <w:tc>
          <w:tcPr>
            <w:tcW w:w="10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6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4"/>
              </w:rPr>
              <w:t>4,848</w:t>
            </w:r>
          </w:p>
        </w:tc>
        <w:tc>
          <w:tcPr>
            <w:tcW w:w="3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18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4,848</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24.35</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9.46</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111,988</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Vested and expected to vest at December 31, 2020</w:t>
            </w:r>
          </w:p>
        </w:tc>
        <w:tc>
          <w:tcPr>
            <w:tcW w:w="1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2020</w:t>
            </w:r>
          </w:p>
        </w:tc>
        <w:tc>
          <w:tcPr>
            <w:tcW w:w="18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2840" w:type="dxa"/>
            <w:vAlign w:val="bottom"/>
            <w:gridSpan w:val="3"/>
          </w:tcPr>
          <w:p>
            <w:pPr>
              <w:ind w:left="860"/>
              <w:spacing w:after="0"/>
              <w:rPr>
                <w:sz w:val="20"/>
                <w:szCs w:val="20"/>
                <w:color w:val="auto"/>
              </w:rPr>
            </w:pPr>
            <w:r>
              <w:rPr>
                <w:rFonts w:ascii="Arial" w:cs="Arial" w:eastAsia="Arial" w:hAnsi="Arial"/>
                <w:sz w:val="18"/>
                <w:szCs w:val="18"/>
                <w:color w:val="auto"/>
              </w:rPr>
              <w:t>F-51</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Upon the issuance of the Series A Preferred Shares, the Founders entered into an arrangement with the Series A preferred shareholders, whereby all ordinary shares of the Founders became subject to service and transfer restriction. Such shares are subject to repurchase by the Company at the price equal to the original purchase price paid by the Founders upon early termination of the requisite period of employment of the Founders. The restricted shares are subject to a four-year service condition with 25% of the total shares shall be vested one year from the issuance of the Series A Preferred Shares and the remaining 75% of the total shares will be vested monthly in equal installment over the remaining requisite service period of 3 years. This arrangement is accounted for as a grant of restricted share awards subject to service vesting conditions.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080"/>
          </w:cols>
          <w:pgMar w:left="320" w:top="459" w:right="4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shares (continued)</w:t>
      </w:r>
    </w:p>
    <w:p>
      <w:pPr>
        <w:spacing w:after="0" w:line="158"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On May 9, 2020 the Group’s shareholders and Board of Directors approved the Employee Share Incentive Plan No. 1 (the “ESIP No. 1”), pursuant to which the Group may issue up to 2,614,636 Class A ordinary shares to qualified employees at US$13.2 per share. The shares are subject to a three-year vesting period with 10%, 40% and 50% of the shares vesting on the first, second and third anniversary of the Company’s IPO, respectively. The Group accounts for awards under the ESIP No. 1 as a grant of restricted share awards subject to vesting condition.</w:t>
      </w:r>
    </w:p>
    <w:p>
      <w:pPr>
        <w:spacing w:after="0" w:line="17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On June 25, 2020, the Group’s shareholders and Board of Directors approved the Employee Share Incentive Plan No. 2 (“the “ESIP No. 2”), pursuant to which the Group allowed qualified employees to purchase Class A ordinary shares at US$20.02 per share. Each qualified employee can subscribe up to RMB2,000 worth of shares, depending on their position and length of service with the Group. The restricted shares are subject service vesting conditions and vest over a three-year period, with 10%, 40% and 50% of the subscribed shares vesting on the first, second and third anniversary, respectively, from subscription date. This arrangement is accounted for as a grant of restricted share awards subject to service vesting conditions.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restricted share activities during the years ended December 31, 2018, 2019 and 2020:</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920" w:type="dxa"/>
            <w:vAlign w:val="bottom"/>
            <w:gridSpan w:val="3"/>
            <w:vMerge w:val="restart"/>
          </w:tcPr>
          <w:p>
            <w:pPr>
              <w:jc w:val="right"/>
              <w:ind w:right="820"/>
              <w:spacing w:after="0"/>
              <w:rPr>
                <w:sz w:val="20"/>
                <w:szCs w:val="20"/>
                <w:color w:val="auto"/>
              </w:rPr>
            </w:pPr>
            <w:r>
              <w:rPr>
                <w:rFonts w:ascii="Arial" w:cs="Arial" w:eastAsia="Arial" w:hAnsi="Arial"/>
                <w:sz w:val="14"/>
                <w:szCs w:val="14"/>
                <w:b w:val="1"/>
                <w:bCs w:val="1"/>
                <w:color w:val="auto"/>
                <w:w w:val="90"/>
              </w:rPr>
              <w:t>Number of shares</w:t>
            </w:r>
          </w:p>
        </w:tc>
        <w:tc>
          <w:tcPr>
            <w:tcW w:w="1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US$ per share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2,144,423</w:t>
            </w:r>
          </w:p>
        </w:tc>
        <w:tc>
          <w:tcPr>
            <w:tcW w:w="8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1036"/>
              <w:spacing w:after="0"/>
              <w:rPr>
                <w:sz w:val="20"/>
                <w:szCs w:val="20"/>
                <w:color w:val="auto"/>
              </w:rPr>
            </w:pPr>
            <w:r>
              <w:rPr>
                <w:rFonts w:ascii="Arial" w:cs="Arial" w:eastAsia="Arial" w:hAnsi="Arial"/>
                <w:sz w:val="18"/>
                <w:szCs w:val="18"/>
                <w:color w:val="auto"/>
                <w:w w:val="91"/>
              </w:rPr>
              <w:t>0.10</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Vested</w:t>
            </w:r>
          </w:p>
        </w:tc>
        <w:tc>
          <w:tcPr>
            <w:tcW w:w="1920" w:type="dxa"/>
            <w:vAlign w:val="bottom"/>
            <w:gridSpan w:val="3"/>
          </w:tcPr>
          <w:p>
            <w:pPr>
              <w:jc w:val="right"/>
              <w:ind w:right="760"/>
              <w:spacing w:after="0"/>
              <w:rPr>
                <w:sz w:val="20"/>
                <w:szCs w:val="20"/>
                <w:color w:val="auto"/>
              </w:rPr>
            </w:pPr>
            <w:r>
              <w:rPr>
                <w:rFonts w:ascii="Arial" w:cs="Arial" w:eastAsia="Arial" w:hAnsi="Arial"/>
                <w:sz w:val="18"/>
                <w:szCs w:val="18"/>
                <w:color w:val="auto"/>
              </w:rPr>
              <w:t>(2,144,423)</w:t>
            </w:r>
          </w:p>
        </w:tc>
        <w:tc>
          <w:tcPr>
            <w:tcW w:w="1520" w:type="dxa"/>
            <w:vAlign w:val="bottom"/>
            <w:gridSpan w:val="2"/>
          </w:tcPr>
          <w:p>
            <w:pPr>
              <w:jc w:val="center"/>
              <w:ind w:left="1036"/>
              <w:spacing w:after="0"/>
              <w:rPr>
                <w:sz w:val="20"/>
                <w:szCs w:val="20"/>
                <w:color w:val="auto"/>
              </w:rPr>
            </w:pPr>
            <w:r>
              <w:rPr>
                <w:rFonts w:ascii="Arial" w:cs="Arial" w:eastAsia="Arial" w:hAnsi="Arial"/>
                <w:sz w:val="18"/>
                <w:szCs w:val="18"/>
                <w:color w:val="auto"/>
                <w:w w:val="91"/>
              </w:rPr>
              <w:t>0.10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center"/>
              <w:ind w:left="1016"/>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Outstanding as of December 31, 2019</w:t>
            </w:r>
          </w:p>
        </w:tc>
        <w:tc>
          <w:tcPr>
            <w:tcW w:w="1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center"/>
              <w:ind w:left="101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743,955</w:t>
            </w:r>
          </w:p>
        </w:tc>
        <w:tc>
          <w:tcPr>
            <w:tcW w:w="8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1036"/>
              <w:spacing w:after="0"/>
              <w:rPr>
                <w:sz w:val="20"/>
                <w:szCs w:val="20"/>
                <w:color w:val="auto"/>
              </w:rPr>
            </w:pPr>
            <w:r>
              <w:rPr>
                <w:rFonts w:ascii="Arial" w:cs="Arial" w:eastAsia="Arial" w:hAnsi="Arial"/>
                <w:sz w:val="18"/>
                <w:szCs w:val="18"/>
                <w:color w:val="auto"/>
                <w:w w:val="91"/>
              </w:rPr>
              <w:t>8.74</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Outstanding as of December 31, 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743,955</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center"/>
              <w:ind w:left="1076"/>
              <w:spacing w:after="0"/>
              <w:rPr>
                <w:sz w:val="20"/>
                <w:szCs w:val="20"/>
                <w:color w:val="auto"/>
              </w:rPr>
            </w:pPr>
            <w:r>
              <w:rPr>
                <w:rFonts w:ascii="Arial" w:cs="Arial" w:eastAsia="Arial" w:hAnsi="Arial"/>
                <w:sz w:val="18"/>
                <w:szCs w:val="18"/>
                <w:color w:val="auto"/>
                <w:w w:val="91"/>
              </w:rPr>
              <w:t>8.74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Prior to the IPO, the Group used the discounted cash flow method to determine the underlying equity value of the Company and adopted equity allocation model to determine the fair value of the restricted shares as of the dates of issuance. Upon completion of the IPO, the Group determined the fair value of the restricted share awards as the difference between the grant date closing ADS price quoted on NASDAQ exchange and the employees’ purchase price. The aggregate fair value of the restricted share awards granted during the year ended December 31, 2020 was RMB42,540 (US$6,520). For the years ended December 31, 2018, 2019 and 2020, the Group recorded compensation expenses for the restricted shares of RMB1,226, nil and RMB1,671 (US$256), respectively.</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080"/>
          </w:cols>
          <w:pgMar w:left="320" w:top="459"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share-based compensation expenses recognized for the years ended December 31, 2018, 2019 and 2020 were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040" w:type="dxa"/>
            <w:vAlign w:val="bottom"/>
            <w:gridSpan w:val="8"/>
          </w:tcPr>
          <w:p>
            <w:pPr>
              <w:ind w:left="4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5"/>
                <w:szCs w:val="15"/>
                <w:color w:val="auto"/>
              </w:rPr>
            </w:pPr>
          </w:p>
        </w:tc>
        <w:tc>
          <w:tcPr>
            <w:tcW w:w="560" w:type="dxa"/>
            <w:vAlign w:val="bottom"/>
          </w:tcPr>
          <w:p>
            <w:pPr>
              <w:jc w:val="right"/>
              <w:ind w:right="35"/>
              <w:spacing w:after="0"/>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RMB</w:t>
            </w: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678</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2,096</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9,377</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49,801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547</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1,235</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2,130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11,502</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119,166</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18,265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5,095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22,792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173,220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26,547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On August 19, 2019, the Group entered into an investment agreement with an employee to issue 85,196 Series C Preferred Shares at US$9.39 per share with a total consideration of US$800. The Group recognized the difference between the fair value of the preferred shares as of the commitment date and the issuance consideration of RMB463 as compensation expense for the year ended December 31, 2019.</w:t>
      </w:r>
    </w:p>
    <w:p>
      <w:pPr>
        <w:spacing w:after="0" w:line="31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14</w:t>
        <w:tab/>
        <w:t>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PRC</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Effective from January 1, 2008, the PRC’s statutory, Enterprise Income Tax (“EIT”) rate is 25%. In accordance with the implementation rules of EIT Law, a qualified “High and New Technology Enterprise” (“HNTE”) is eligible for a preferential tax rate of 15%. The HNTE certificate is effective for a period of three years. An entity must file required supporting documents with the tax authority and ensure fulfillment of the relevant HNTE criteria before using the preferential rate. An entity could re-apply for the HNTE certificate when the prior certificate expires.</w:t>
      </w:r>
    </w:p>
    <w:p>
      <w:pPr>
        <w:spacing w:after="0" w:line="17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Guangzhou Burning Rock Dx Co., Ltd. was recognized as a qualified HNTE under the EIT Law by relevant government authorities in December 2019 and was entitled to the preferential rate of 15%. All other operating entities in the PRC are subject to the 25% EIT rate.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060"/>
          </w:cols>
          <w:pgMar w:left="320" w:top="459" w:right="5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14</w:t>
        <w:tab/>
        <w:t>INCOME TAXES (CONTINUED)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Cayman Islands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Under the current tax laws of Cayman Islands, the Company is not subject to tax on income or capital gains. Besides, upon payment of dividends by the Company to its shareholders, no Cayman Islands withholding tax will be imposed.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United States</w:t>
      </w:r>
    </w:p>
    <w:p>
      <w:pPr>
        <w:spacing w:after="0" w:line="117"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As a result of the United States tax law amendments, the federal statutory income tax rate for the subsidiary in the US was 21% for the year ended December 31, 2020. The subsidiary in the US was incorporated in the state of California, and was also subject to state income tax at a rate of approximately 8.8% for the year ended December 31,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Under the Hong Kong tax laws, the subsidiary in Hong Kong is subject to the Hong Kong profit tax at a rate of 16.5% and it may be exempted from income tax on its foreign-derived income. There are no withholding taxes in Hong Kong on remittance of dividends.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Group’s loss before income taxes consists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2"/>
              </w:rPr>
              <w:t>For the years ended December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70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960" w:type="dxa"/>
            <w:vAlign w:val="bottom"/>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0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0"/>
        </w:trPr>
        <w:tc>
          <w:tcPr>
            <w:tcW w:w="7200" w:type="dxa"/>
            <w:vAlign w:val="bottom"/>
          </w:tcPr>
          <w:p>
            <w:pPr>
              <w:spacing w:after="0"/>
              <w:rPr>
                <w:sz w:val="15"/>
                <w:szCs w:val="15"/>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5"/>
                <w:szCs w:val="15"/>
                <w:color w:val="auto"/>
              </w:rPr>
            </w:pPr>
          </w:p>
        </w:tc>
        <w:tc>
          <w:tcPr>
            <w:tcW w:w="102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RMB</w:t>
            </w:r>
          </w:p>
        </w:tc>
        <w:tc>
          <w:tcPr>
            <w:tcW w:w="62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5"/>
                <w:szCs w:val="15"/>
                <w:color w:val="auto"/>
              </w:rPr>
            </w:pPr>
          </w:p>
        </w:tc>
      </w:tr>
      <w:tr>
        <w:trPr>
          <w:trHeight w:val="70"/>
        </w:trPr>
        <w:tc>
          <w:tcPr>
            <w:tcW w:w="7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(157,740)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(150,495)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(366,634)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(56,189)</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Non-PRC</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(19,757)</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(18,661)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(40,601)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(6,223)</w:t>
            </w:r>
          </w:p>
        </w:tc>
      </w:tr>
      <w:tr>
        <w:trPr>
          <w:trHeight w:val="27"/>
        </w:trPr>
        <w:tc>
          <w:tcPr>
            <w:tcW w:w="7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loss before income tax</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(177,497)</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(169,156)</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(407,235)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(62,412)</w:t>
            </w:r>
          </w:p>
        </w:tc>
      </w:tr>
      <w:tr>
        <w:trPr>
          <w:trHeight w:val="20"/>
        </w:trPr>
        <w:tc>
          <w:tcPr>
            <w:tcW w:w="7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For the years ended December 31, 2018, 2019 and 2020, the income generated by the subsidiary in Hong Kong was interest income derived from the bank that was exempted from Hong Kong profit tax. The Group did not recognize any current or deferred tax expense for the years presented.</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14</w:t>
        <w:tab/>
        <w:t>INCOME TAX (CONTINUED)</w:t>
      </w:r>
    </w:p>
    <w:p>
      <w:pPr>
        <w:spacing w:after="0" w:line="162"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Reconciliation between the income tax expenses computed by applying the statutory tax rate to loss before income tax and the actual provision for income tax is as follows: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1"/>
              </w:rPr>
              <w:t>For the years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940" w:type="dxa"/>
            <w:vAlign w:val="bottom"/>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10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5"/>
                <w:szCs w:val="15"/>
                <w:color w:val="auto"/>
              </w:rPr>
            </w:pPr>
          </w:p>
        </w:tc>
        <w:tc>
          <w:tcPr>
            <w:tcW w:w="102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RMB</w:t>
            </w:r>
          </w:p>
        </w:tc>
        <w:tc>
          <w:tcPr>
            <w:tcW w:w="62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(177,497)</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(169,156)</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(407,235)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(62,412)</w:t>
            </w:r>
          </w:p>
        </w:tc>
        <w:tc>
          <w:tcPr>
            <w:tcW w:w="0" w:type="dxa"/>
            <w:vAlign w:val="bottom"/>
          </w:tcPr>
          <w:p>
            <w:pPr>
              <w:spacing w:after="0"/>
              <w:rPr>
                <w:sz w:val="1"/>
                <w:szCs w:val="1"/>
                <w:color w:val="auto"/>
              </w:rPr>
            </w:pPr>
          </w:p>
        </w:tc>
      </w:tr>
      <w:tr>
        <w:trPr>
          <w:trHeight w:val="324"/>
        </w:trPr>
        <w:tc>
          <w:tcPr>
            <w:tcW w:w="6360" w:type="dxa"/>
            <w:vAlign w:val="bottom"/>
            <w:gridSpan w:val="2"/>
          </w:tcPr>
          <w:p>
            <w:pPr>
              <w:spacing w:after="0"/>
              <w:rPr>
                <w:sz w:val="20"/>
                <w:szCs w:val="20"/>
                <w:color w:val="auto"/>
              </w:rPr>
            </w:pPr>
            <w:r>
              <w:rPr>
                <w:rFonts w:ascii="Arial" w:cs="Arial" w:eastAsia="Arial" w:hAnsi="Arial"/>
                <w:sz w:val="18"/>
                <w:szCs w:val="18"/>
                <w:color w:val="auto"/>
              </w:rPr>
              <w:t>Income tax benefits computed at PRC statutory rate (25%)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(44,374)</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(42,289)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(101,809)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Effect of tax rate differential</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5,052</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10,474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10,375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Research and development super-deduction</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(1,821)</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(4,712)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(6,011)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5,394</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10,629</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54,255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Non-taxable income</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(1,412)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(872)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35,961</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27,310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44,062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6,753</w:t>
            </w:r>
          </w:p>
        </w:tc>
        <w:tc>
          <w:tcPr>
            <w:tcW w:w="0" w:type="dxa"/>
            <w:vAlign w:val="bottom"/>
          </w:tcPr>
          <w:p>
            <w:pPr>
              <w:spacing w:after="0"/>
              <w:rPr>
                <w:sz w:val="1"/>
                <w:szCs w:val="1"/>
                <w:color w:val="auto"/>
              </w:rPr>
            </w:pPr>
          </w:p>
        </w:tc>
      </w:tr>
      <w:tr>
        <w:trPr>
          <w:trHeight w:val="20"/>
        </w:trPr>
        <w:tc>
          <w:tcPr>
            <w:tcW w:w="63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36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Deferred taxes were measured using the enacted tax rates for the periods in which the temporary differences are expected to be reversed. The tax effects of temporary differences that give rise to the deferred tax balances as of December 31, 2019 and 2020 are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5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8"/>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RMB</w:t>
            </w:r>
          </w:p>
        </w:tc>
        <w:tc>
          <w:tcPr>
            <w:tcW w:w="620" w:type="dxa"/>
            <w:vAlign w:val="bottom"/>
          </w:tcPr>
          <w:p>
            <w:pPr>
              <w:jc w:val="right"/>
              <w:ind w:right="92"/>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Accruals and reserves</w:t>
            </w:r>
          </w:p>
        </w:tc>
        <w:tc>
          <w:tcPr>
            <w:tcW w:w="700" w:type="dxa"/>
            <w:vAlign w:val="bottom"/>
          </w:tcPr>
          <w:p>
            <w:pPr>
              <w:jc w:val="right"/>
              <w:spacing w:after="0"/>
              <w:rPr>
                <w:sz w:val="20"/>
                <w:szCs w:val="20"/>
                <w:color w:val="auto"/>
              </w:rPr>
            </w:pPr>
            <w:r>
              <w:rPr>
                <w:rFonts w:ascii="Arial" w:cs="Arial" w:eastAsia="Arial" w:hAnsi="Arial"/>
                <w:sz w:val="18"/>
                <w:szCs w:val="18"/>
                <w:color w:val="auto"/>
              </w:rPr>
              <w:t>3,913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9,205</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carried forward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Government grants</w:t>
            </w:r>
          </w:p>
        </w:tc>
        <w:tc>
          <w:tcPr>
            <w:tcW w:w="70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Excessive education fee</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Timing difference of research and development expense recognition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90,535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Timing difference of revenue recognition</w:t>
            </w:r>
          </w:p>
        </w:tc>
        <w:tc>
          <w:tcPr>
            <w:tcW w:w="700" w:type="dxa"/>
            <w:vAlign w:val="bottom"/>
          </w:tcPr>
          <w:p>
            <w:pPr>
              <w:jc w:val="right"/>
              <w:spacing w:after="0"/>
              <w:rPr>
                <w:sz w:val="20"/>
                <w:szCs w:val="20"/>
                <w:color w:val="auto"/>
              </w:rPr>
            </w:pPr>
            <w:r>
              <w:rPr>
                <w:rFonts w:ascii="Arial" w:cs="Arial" w:eastAsia="Arial" w:hAnsi="Arial"/>
                <w:sz w:val="18"/>
                <w:szCs w:val="18"/>
                <w:color w:val="auto"/>
              </w:rPr>
              <w:t>10,160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6,425</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Excessive donation expense carried forward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2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Gross deferred tax assets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118,102</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170,298</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26,099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(118,102)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(170,298)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(26,099)</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assets, net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ind w:left="4440"/>
              <w:spacing w:after="0"/>
              <w:rPr>
                <w:sz w:val="20"/>
                <w:szCs w:val="20"/>
                <w:color w:val="auto"/>
              </w:rPr>
            </w:pPr>
            <w:r>
              <w:rPr>
                <w:rFonts w:ascii="Arial" w:cs="Arial" w:eastAsia="Arial" w:hAnsi="Arial"/>
                <w:sz w:val="18"/>
                <w:szCs w:val="18"/>
                <w:color w:val="auto"/>
              </w:rPr>
              <w:t>F-56</w:t>
            </w: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14</w:t>
        <w:tab/>
        <w:t>INCOME TAX (CONTINUED)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Deferred tax assets and liabilities </w:t>
      </w:r>
      <w:r>
        <w:rPr>
          <w:rFonts w:ascii="Arial" w:cs="Arial" w:eastAsia="Arial" w:hAnsi="Arial"/>
          <w:sz w:val="18"/>
          <w:szCs w:val="18"/>
          <w:color w:val="auto"/>
        </w:rPr>
        <w:t>(continued)</w:t>
      </w:r>
    </w:p>
    <w:p>
      <w:pPr>
        <w:spacing w:after="0" w:line="158"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As of December 31, 2019 and 2020, the Group had net operating losses of RMB210,376 and RMB241,152 (US$36,958), respectively, mainly deriving from entities in the PRC. The tax losses in the PRC can be carried forward for five years to offset future taxable profit, and the period was extended to ten years for entities that qualify as a HNTE in 2018 and thereafter. The tax losses of entities in the PRC will begin to expire in 2021, if not utilized.</w:t>
      </w:r>
    </w:p>
    <w:p>
      <w:pPr>
        <w:spacing w:after="0" w:line="14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Valuation allowances have been provided on the net deferred tax assets where, based on all available evidence, it was considered more likely than not that some portion or all of the recorded deferred tax assets will not be realized in future periods. Realization of the net deferred tax assets is dependent on factors including future reversals of existing taxable temporary differences and adequate future income, exclusive of reversing deductible temporary differences, tax planning and tax loss or credit carry forwards. The Group evaluates the potential realization of deferred tax assets on an entity-by-entity basis. As of December 31, 2019 and 2020, valuation allowances were provided against deferred tax assets in entities where it was determined it was more likely than not that the benefits of the deferred tax assets will not be realized.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Unrecognized tax benefits</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As of December 31, 2020 and for the year ended December 31, 2020, there was no significant impact from tax uncertainties on the Group’s consolidated financial position and result of operations. The Group did not record any interest and penalties related to an uncertain tax position for the year ended December 31, 2020. The Group does not expect the amount of unrecognized tax benefits would increase significantly in the next 12 months.</w:t>
      </w:r>
    </w:p>
    <w:p>
      <w:pPr>
        <w:spacing w:after="0" w:line="149"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In general, the PRC tax authorities have up to five years to conduct examinations of the tax filings of the Company’s PRC subsidiaries, the VIE and the VIE’s subsidiaries. Accordingly, the PRC tax filings from 2014 through 2018 remain open to examination by the respective tax authorities. The Group may also be subject to the examinations of the tax filings in other jurisdictions, which are not material to the consolidated financial statements.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139"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15</w:t>
        <w:tab/>
        <w:t>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Basic and diluted loss per share for the years ended December 31, 2018, 2019 and 2020 are calculated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1"/>
              </w:rPr>
              <w:t>For the years ended December 31,</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8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1980" w:type="dxa"/>
            <w:vAlign w:val="bottom"/>
            <w:gridSpan w:val="3"/>
          </w:tcPr>
          <w:p>
            <w:pPr>
              <w:jc w:val="right"/>
              <w:ind w:right="394"/>
              <w:spacing w:after="0" w:line="142" w:lineRule="exact"/>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5"/>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Class A</w:t>
            </w:r>
          </w:p>
        </w:tc>
        <w:tc>
          <w:tcPr>
            <w:tcW w:w="1960" w:type="dxa"/>
            <w:vAlign w:val="bottom"/>
            <w:gridSpan w:val="3"/>
          </w:tcPr>
          <w:p>
            <w:pPr>
              <w:jc w:val="right"/>
              <w:ind w:right="692"/>
              <w:spacing w:after="0" w:line="142" w:lineRule="exact"/>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RMB</w:t>
            </w:r>
          </w:p>
        </w:tc>
        <w:tc>
          <w:tcPr>
            <w:tcW w:w="88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RMB</w:t>
            </w:r>
          </w:p>
        </w:tc>
        <w:tc>
          <w:tcPr>
            <w:tcW w:w="8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RMB</w:t>
            </w:r>
          </w:p>
        </w:tc>
        <w:tc>
          <w:tcPr>
            <w:tcW w:w="92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88"/>
        </w:trPr>
        <w:tc>
          <w:tcPr>
            <w:tcW w:w="45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Numerator:</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450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Net loss attributable to Burning Rock Biotech Limited’s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500" w:type="dxa"/>
            <w:vAlign w:val="bottom"/>
          </w:tcPr>
          <w:p>
            <w:pPr>
              <w:ind w:left="180"/>
              <w:spacing w:after="0"/>
              <w:rPr>
                <w:sz w:val="20"/>
                <w:szCs w:val="20"/>
                <w:color w:val="auto"/>
              </w:rPr>
            </w:pPr>
            <w:r>
              <w:rPr>
                <w:rFonts w:ascii="Arial" w:cs="Arial" w:eastAsia="Arial" w:hAnsi="Arial"/>
                <w:sz w:val="18"/>
                <w:szCs w:val="18"/>
                <w:b w:val="1"/>
                <w:bCs w:val="1"/>
                <w:color w:val="auto"/>
              </w:rPr>
              <w:t>shareholder</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(177,497)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(169,156)</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(304,440)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(46,658)</w:t>
            </w:r>
          </w:p>
        </w:tc>
        <w:tc>
          <w:tcPr>
            <w:tcW w:w="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(102,795)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(15,754)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shares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(54,849)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(165,011)</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(48,359)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(7,411)</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(16,329)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(2,503)</w:t>
            </w:r>
          </w:p>
        </w:tc>
      </w:t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Net loss attributable to ordinary shareholders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(232,346)</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(334,167)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(352,799)</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(54,069)</w:t>
            </w:r>
          </w:p>
        </w:tc>
        <w:tc>
          <w:tcPr>
            <w:tcW w:w="2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(119,124)</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(18,257)</w:t>
            </w:r>
          </w:p>
        </w:tc>
        <w:tc>
          <w:tcPr>
            <w:tcW w:w="12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4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Denominator:</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4500" w:type="dxa"/>
            <w:vAlign w:val="bottom"/>
          </w:tcPr>
          <w:p>
            <w:pPr>
              <w:spacing w:after="0" w:line="198" w:lineRule="exact"/>
              <w:rPr>
                <w:sz w:val="20"/>
                <w:szCs w:val="20"/>
                <w:color w:val="auto"/>
              </w:rPr>
            </w:pPr>
            <w:r>
              <w:rPr>
                <w:rFonts w:ascii="Arial" w:cs="Arial" w:eastAsia="Arial" w:hAnsi="Arial"/>
                <w:sz w:val="18"/>
                <w:szCs w:val="18"/>
                <w:b w:val="1"/>
                <w:bCs w:val="1"/>
                <w:color w:val="auto"/>
              </w:rPr>
              <w:t>Weighted-average number of ordinary shares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500" w:type="dxa"/>
            <w:vAlign w:val="bottom"/>
          </w:tcPr>
          <w:p>
            <w:pPr>
              <w:ind w:left="180"/>
              <w:spacing w:after="0"/>
              <w:rPr>
                <w:sz w:val="20"/>
                <w:szCs w:val="20"/>
                <w:color w:val="auto"/>
              </w:rPr>
            </w:pPr>
            <w:r>
              <w:rPr>
                <w:rFonts w:ascii="Arial" w:cs="Arial" w:eastAsia="Arial" w:hAnsi="Arial"/>
                <w:sz w:val="18"/>
                <w:szCs w:val="18"/>
                <w:b w:val="1"/>
                <w:bCs w:val="1"/>
                <w:color w:val="auto"/>
              </w:rPr>
              <w:t>outstanding</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22,378,876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23,483,915</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51,313,708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51,313,708</w:t>
            </w:r>
          </w:p>
        </w:tc>
        <w:tc>
          <w:tcPr>
            <w:tcW w:w="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17,324,848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17,324,848</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Effect of unvested restricted shares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(4,077)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(4,077)</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198"/>
        </w:trPr>
        <w:tc>
          <w:tcPr>
            <w:tcW w:w="4500" w:type="dxa"/>
            <w:vAlign w:val="bottom"/>
          </w:tcPr>
          <w:p>
            <w:pPr>
              <w:spacing w:after="0" w:line="198" w:lineRule="exact"/>
              <w:rPr>
                <w:sz w:val="20"/>
                <w:szCs w:val="20"/>
                <w:color w:val="auto"/>
              </w:rPr>
            </w:pPr>
            <w:r>
              <w:rPr>
                <w:rFonts w:ascii="Arial" w:cs="Arial" w:eastAsia="Arial" w:hAnsi="Arial"/>
                <w:sz w:val="18"/>
                <w:szCs w:val="18"/>
                <w:b w:val="1"/>
                <w:bCs w:val="1"/>
                <w:color w:val="auto"/>
              </w:rPr>
              <w:t>Weighted-average number of ordinary shares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500" w:type="dxa"/>
            <w:vAlign w:val="bottom"/>
          </w:tcPr>
          <w:p>
            <w:pPr>
              <w:ind w:left="180"/>
              <w:spacing w:after="0"/>
              <w:rPr>
                <w:sz w:val="20"/>
                <w:szCs w:val="20"/>
                <w:color w:val="auto"/>
              </w:rPr>
            </w:pPr>
            <w:r>
              <w:rPr>
                <w:rFonts w:ascii="Arial" w:cs="Arial" w:eastAsia="Arial" w:hAnsi="Arial"/>
                <w:sz w:val="18"/>
                <w:szCs w:val="18"/>
                <w:b w:val="1"/>
                <w:bCs w:val="1"/>
                <w:color w:val="auto"/>
              </w:rPr>
              <w:t>outstanding – basic and diluted</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22,378,876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23,483,915</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51,309,631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51,309,631</w:t>
            </w:r>
          </w:p>
        </w:tc>
        <w:tc>
          <w:tcPr>
            <w:tcW w:w="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17,324,848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17,324,848</w:t>
            </w:r>
          </w:p>
        </w:tc>
      </w:tr>
      <w:tr>
        <w:trPr>
          <w:trHeight w:val="20"/>
        </w:trPr>
        <w:tc>
          <w:tcPr>
            <w:tcW w:w="4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4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share—basic and diluted</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(10.38)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(14.23)</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(6.88)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(1.05)</w:t>
            </w:r>
          </w:p>
        </w:tc>
      </w:tr>
      <w:tr>
        <w:trPr>
          <w:trHeight w:val="20"/>
        </w:trPr>
        <w:tc>
          <w:tcPr>
            <w:tcW w:w="4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For the years ended December 31, 2018 and 2019, the computation of basic loss per share using the two-class method was not applicable as the Group was in a net loss position and the participating securities did not have contractual rights and obligations to share the losses of the Group. For the year ended December 31, 2020, the two-class method was applied to the outstanding Class A and Class B ordinary shares. The unvested restricted shares were excluded from the computation of weighted-average number or ordinary shares outstanding because the Group is in a loss position and the holder of the restricted shares do not have an obligation to fund losses of the Group. The effects of all outstanding Preferred Shares, the warrant and share options were excluded from the computation of diluted loss per share for the years ended December 31, 2018, 2019 and 2020 as their effects would be anti-dilutive.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16</w:t>
            </w:r>
          </w:p>
        </w:tc>
        <w:tc>
          <w:tcPr>
            <w:tcW w:w="5440" w:type="dxa"/>
            <w:vAlign w:val="bottom"/>
            <w:gridSpan w:val="2"/>
          </w:tcPr>
          <w:p>
            <w:pPr>
              <w:ind w:left="120"/>
              <w:spacing w:after="0"/>
              <w:rPr>
                <w:sz w:val="20"/>
                <w:szCs w:val="20"/>
                <w:color w:val="auto"/>
              </w:rPr>
            </w:pPr>
            <w:r>
              <w:rPr>
                <w:rFonts w:ascii="Arial" w:cs="Arial" w:eastAsia="Arial" w:hAnsi="Arial"/>
                <w:sz w:val="18"/>
                <w:szCs w:val="18"/>
                <w:b w:val="1"/>
                <w:bCs w:val="1"/>
                <w:color w:val="auto"/>
              </w:rPr>
              <w:t>RELATED PARTY TRANSACTIONS</w:t>
            </w:r>
          </w:p>
        </w:tc>
        <w:tc>
          <w:tcPr>
            <w:tcW w:w="5280" w:type="dxa"/>
            <w:vAlign w:val="bottom"/>
          </w:tcPr>
          <w:p>
            <w:pPr>
              <w:spacing w:after="0"/>
              <w:rPr>
                <w:sz w:val="20"/>
                <w:szCs w:val="20"/>
                <w:color w:val="auto"/>
              </w:rPr>
            </w:pPr>
          </w:p>
        </w:tc>
      </w:tr>
      <w:tr>
        <w:trPr>
          <w:trHeight w:val="338"/>
        </w:trPr>
        <w:tc>
          <w:tcPr>
            <w:tcW w:w="300" w:type="dxa"/>
            <w:vAlign w:val="bottom"/>
          </w:tcPr>
          <w:p>
            <w:pPr>
              <w:spacing w:after="0"/>
              <w:rPr>
                <w:sz w:val="20"/>
                <w:szCs w:val="20"/>
                <w:color w:val="auto"/>
              </w:rPr>
            </w:pPr>
            <w:r>
              <w:rPr>
                <w:rFonts w:ascii="Arial" w:cs="Arial" w:eastAsia="Arial" w:hAnsi="Arial"/>
                <w:sz w:val="18"/>
                <w:szCs w:val="18"/>
                <w:i w:val="1"/>
                <w:iCs w:val="1"/>
                <w:color w:val="auto"/>
              </w:rPr>
              <w:t>a)</w:t>
            </w:r>
          </w:p>
        </w:tc>
        <w:tc>
          <w:tcPr>
            <w:tcW w:w="5440" w:type="dxa"/>
            <w:vAlign w:val="bottom"/>
            <w:gridSpan w:val="2"/>
          </w:tcPr>
          <w:p>
            <w:pPr>
              <w:ind w:left="120"/>
              <w:spacing w:after="0"/>
              <w:rPr>
                <w:sz w:val="20"/>
                <w:szCs w:val="20"/>
                <w:color w:val="auto"/>
              </w:rPr>
            </w:pPr>
            <w:r>
              <w:rPr>
                <w:rFonts w:ascii="Arial" w:cs="Arial" w:eastAsia="Arial" w:hAnsi="Arial"/>
                <w:sz w:val="18"/>
                <w:szCs w:val="18"/>
                <w:i w:val="1"/>
                <w:iCs w:val="1"/>
                <w:color w:val="auto"/>
              </w:rPr>
              <w:t>Related Parties</w:t>
            </w:r>
          </w:p>
        </w:tc>
        <w:tc>
          <w:tcPr>
            <w:tcW w:w="5280" w:type="dxa"/>
            <w:vAlign w:val="bottom"/>
          </w:tcPr>
          <w:p>
            <w:pPr>
              <w:spacing w:after="0"/>
              <w:rPr>
                <w:sz w:val="24"/>
                <w:szCs w:val="24"/>
                <w:color w:val="auto"/>
              </w:rPr>
            </w:pPr>
          </w:p>
        </w:tc>
      </w:tr>
      <w:tr>
        <w:trPr>
          <w:trHeight w:val="405"/>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Name of related parties</w:t>
            </w:r>
          </w:p>
        </w:tc>
        <w:tc>
          <w:tcPr>
            <w:tcW w:w="5280" w:type="dxa"/>
            <w:vAlign w:val="bottom"/>
          </w:tcPr>
          <w:p>
            <w:pPr>
              <w:spacing w:after="0"/>
              <w:rPr>
                <w:sz w:val="20"/>
                <w:szCs w:val="20"/>
                <w:color w:val="auto"/>
              </w:rPr>
            </w:pPr>
            <w:r>
              <w:rPr>
                <w:rFonts w:ascii="Arial" w:cs="Arial" w:eastAsia="Arial" w:hAnsi="Arial"/>
                <w:sz w:val="14"/>
                <w:szCs w:val="14"/>
                <w:b w:val="1"/>
                <w:bCs w:val="1"/>
                <w:color w:val="auto"/>
              </w:rPr>
              <w:t>Relationship</w:t>
            </w:r>
          </w:p>
        </w:tc>
      </w:tr>
      <w:tr>
        <w:trPr>
          <w:trHeight w:val="195"/>
        </w:trPr>
        <w:tc>
          <w:tcPr>
            <w:tcW w:w="56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Yusheng Han</w:t>
            </w: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Shareholder of a shareholder of the Company, Chief Executive Officer,</w:t>
            </w:r>
          </w:p>
        </w:tc>
      </w:tr>
      <w:tr>
        <w:trPr>
          <w:trHeight w:val="216"/>
        </w:trPr>
        <w:tc>
          <w:tcPr>
            <w:tcW w:w="3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Shaokun Chuai</w:t>
            </w:r>
          </w:p>
        </w:tc>
        <w:tc>
          <w:tcPr>
            <w:tcW w:w="5280" w:type="dxa"/>
            <w:vAlign w:val="bottom"/>
          </w:tcPr>
          <w:p>
            <w:pPr>
              <w:spacing w:after="0"/>
              <w:rPr>
                <w:sz w:val="20"/>
                <w:szCs w:val="20"/>
                <w:color w:val="auto"/>
              </w:rPr>
            </w:pPr>
            <w:r>
              <w:rPr>
                <w:rFonts w:ascii="Arial" w:cs="Arial" w:eastAsia="Arial" w:hAnsi="Arial"/>
                <w:sz w:val="18"/>
                <w:szCs w:val="18"/>
                <w:color w:val="auto"/>
                <w:w w:val="93"/>
              </w:rPr>
              <w:t>Shareholder of a shareholder of the Company, Chief Operating Officer,</w:t>
            </w:r>
          </w:p>
        </w:tc>
      </w:tr>
      <w:tr>
        <w:trPr>
          <w:trHeight w:val="216"/>
        </w:trPr>
        <w:tc>
          <w:tcPr>
            <w:tcW w:w="3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Dan Zhou</w:t>
            </w:r>
          </w:p>
        </w:tc>
        <w:tc>
          <w:tcPr>
            <w:tcW w:w="5280" w:type="dxa"/>
            <w:vAlign w:val="bottom"/>
          </w:tcPr>
          <w:p>
            <w:pPr>
              <w:spacing w:after="0"/>
              <w:rPr>
                <w:sz w:val="20"/>
                <w:szCs w:val="20"/>
                <w:color w:val="auto"/>
              </w:rPr>
            </w:pPr>
            <w:r>
              <w:rPr>
                <w:rFonts w:ascii="Arial" w:cs="Arial" w:eastAsia="Arial" w:hAnsi="Arial"/>
                <w:sz w:val="18"/>
                <w:szCs w:val="18"/>
                <w:color w:val="auto"/>
                <w:w w:val="89"/>
              </w:rPr>
              <w:t>Shareholder of a shareholder of the Company, management of the Group</w:t>
            </w: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BRT Bio Tech Limited</w:t>
            </w:r>
          </w:p>
        </w:tc>
        <w:tc>
          <w:tcPr>
            <w:tcW w:w="5280" w:type="dxa"/>
            <w:vAlign w:val="bottom"/>
          </w:tcPr>
          <w:p>
            <w:pPr>
              <w:spacing w:after="0"/>
              <w:rPr>
                <w:sz w:val="20"/>
                <w:szCs w:val="20"/>
                <w:color w:val="auto"/>
              </w:rPr>
            </w:pPr>
            <w:r>
              <w:rPr>
                <w:rFonts w:ascii="Arial" w:cs="Arial" w:eastAsia="Arial" w:hAnsi="Arial"/>
                <w:sz w:val="18"/>
                <w:szCs w:val="18"/>
                <w:color w:val="auto"/>
              </w:rPr>
              <w:t>Controlling shareholder of the Company up to October 30, 2019</w:t>
            </w:r>
          </w:p>
        </w:tc>
      </w:tr>
      <w:tr>
        <w:trPr>
          <w:trHeight w:val="230"/>
        </w:trPr>
        <w:tc>
          <w:tcPr>
            <w:tcW w:w="5740" w:type="dxa"/>
            <w:vAlign w:val="bottom"/>
            <w:gridSpan w:val="3"/>
          </w:tcPr>
          <w:p>
            <w:pPr>
              <w:spacing w:after="0"/>
              <w:rPr>
                <w:sz w:val="20"/>
                <w:szCs w:val="20"/>
                <w:color w:val="auto"/>
              </w:rPr>
            </w:pPr>
            <w:r>
              <w:rPr>
                <w:rFonts w:ascii="Arial" w:cs="Arial" w:eastAsia="Arial" w:hAnsi="Arial"/>
                <w:sz w:val="18"/>
                <w:szCs w:val="18"/>
                <w:color w:val="auto"/>
              </w:rPr>
              <w:t>EaSuMed Holding Ltd.</w:t>
            </w:r>
          </w:p>
        </w:tc>
        <w:tc>
          <w:tcPr>
            <w:tcW w:w="5280" w:type="dxa"/>
            <w:vAlign w:val="bottom"/>
          </w:tcPr>
          <w:p>
            <w:pPr>
              <w:spacing w:after="0"/>
              <w:rPr>
                <w:sz w:val="20"/>
                <w:szCs w:val="20"/>
                <w:color w:val="auto"/>
              </w:rPr>
            </w:pPr>
            <w:r>
              <w:rPr>
                <w:rFonts w:ascii="Arial" w:cs="Arial" w:eastAsia="Arial" w:hAnsi="Arial"/>
                <w:sz w:val="18"/>
                <w:szCs w:val="18"/>
                <w:color w:val="auto"/>
              </w:rPr>
              <w:t>Equity method investee</w:t>
            </w:r>
          </w:p>
        </w:tc>
      </w:tr>
    </w:tbl>
    <w:p>
      <w:pPr>
        <w:spacing w:after="0" w:line="229"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i w:val="1"/>
          <w:iCs w:val="1"/>
          <w:color w:val="auto"/>
        </w:rPr>
      </w:pPr>
      <w:r>
        <w:rPr>
          <w:rFonts w:ascii="Arial" w:cs="Arial" w:eastAsia="Arial" w:hAnsi="Arial"/>
          <w:sz w:val="18"/>
          <w:szCs w:val="18"/>
          <w:i w:val="1"/>
          <w:iCs w:val="1"/>
          <w:color w:val="auto"/>
        </w:rPr>
        <w:t>The Group had the following related party balances at the end of the year:</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740" w:type="dxa"/>
            <w:vAlign w:val="bottom"/>
            <w:gridSpan w:val="7"/>
          </w:tcPr>
          <w:p>
            <w:pPr>
              <w:ind w:left="2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752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56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6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Yusheng Han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56,330</w:t>
            </w: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Shaokun Chuai</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18,038</w:t>
            </w:r>
          </w:p>
        </w:tc>
        <w:tc>
          <w:tcPr>
            <w:tcW w:w="220" w:type="dxa"/>
            <w:vAlign w:val="bottom"/>
          </w:tcPr>
          <w:p>
            <w:pPr>
              <w:spacing w:after="0"/>
              <w:rPr>
                <w:sz w:val="18"/>
                <w:szCs w:val="18"/>
                <w:color w:val="auto"/>
              </w:rPr>
            </w:pPr>
          </w:p>
        </w:tc>
        <w:tc>
          <w:tcPr>
            <w:tcW w:w="6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EaSuMed Holding Ltd.</w:t>
            </w: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212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b w:val="1"/>
                <w:bCs w:val="1"/>
                <w:color w:val="auto"/>
              </w:rPr>
              <w:t>Total amounts due from related parties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74,368</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212</w:t>
            </w:r>
          </w:p>
        </w:tc>
        <w:tc>
          <w:tcPr>
            <w:tcW w:w="2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All the balances with related parties as of December 31, 2019 and 2020 were unsecured. All outstanding balances are repayable on demand unless otherwise disclosed. No allowance for doubtful accounts was recognized for the amounts due from related parties for the years ended December 31, 2018, 2019 and 2020.</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16</w:t>
        <w:tab/>
        <w:t>RELATED PARTY TRANSACTIONS (CONTINUED)</w:t>
      </w:r>
    </w:p>
    <w:p>
      <w:pPr>
        <w:spacing w:after="0" w:line="16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i w:val="1"/>
          <w:iCs w:val="1"/>
          <w:color w:val="auto"/>
        </w:rPr>
        <w:t>c)</w:t>
      </w:r>
      <w:r>
        <w:rPr>
          <w:sz w:val="20"/>
          <w:szCs w:val="20"/>
          <w:color w:val="auto"/>
        </w:rPr>
        <w:tab/>
      </w:r>
      <w:r>
        <w:rPr>
          <w:rFonts w:ascii="Arial" w:cs="Arial" w:eastAsia="Arial" w:hAnsi="Arial"/>
          <w:sz w:val="18"/>
          <w:szCs w:val="18"/>
          <w:i w:val="1"/>
          <w:iCs w:val="1"/>
          <w:color w:val="auto"/>
        </w:rPr>
        <w:t>The Group had the following related party transactions: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2500" w:type="dxa"/>
            <w:vAlign w:val="bottom"/>
            <w:gridSpan w:val="8"/>
          </w:tcPr>
          <w:p>
            <w:pPr>
              <w:ind w:left="1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ind w:left="300"/>
              <w:spacing w:after="0" w:line="142" w:lineRule="exact"/>
              <w:rPr>
                <w:sz w:val="20"/>
                <w:szCs w:val="20"/>
                <w:color w:val="auto"/>
              </w:rPr>
            </w:pPr>
            <w:r>
              <w:rPr>
                <w:rFonts w:ascii="Arial" w:cs="Arial" w:eastAsia="Arial" w:hAnsi="Arial"/>
                <w:sz w:val="14"/>
                <w:szCs w:val="14"/>
                <w:b w:val="1"/>
                <w:bCs w:val="1"/>
                <w:color w:val="auto"/>
                <w:w w:val="89"/>
              </w:rPr>
              <w:t>2020</w:t>
            </w:r>
          </w:p>
        </w:tc>
        <w:tc>
          <w:tcPr>
            <w:tcW w:w="30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56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received from:</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EaSuMed Holding Ltd.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1,225</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806</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770</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 provided to:</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Yusheng Han (i)</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37,034</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Shaokun Chuai (ii)</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16,816</w:t>
            </w:r>
          </w:p>
        </w:tc>
        <w:tc>
          <w:tcPr>
            <w:tcW w:w="6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Dan Zhou</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53,850</w:t>
            </w:r>
          </w:p>
        </w:tc>
        <w:tc>
          <w:tcPr>
            <w:tcW w:w="6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Shares repurchased from:</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BRT Bio Tech Limited (iii)</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1,500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1,294</w:t>
            </w:r>
          </w:p>
        </w:tc>
        <w:tc>
          <w:tcPr>
            <w:tcW w:w="6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Interest income from:</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Yusheng Han</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1,295</w:t>
            </w:r>
          </w:p>
        </w:tc>
        <w:tc>
          <w:tcPr>
            <w:tcW w:w="6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176</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Shaokun Chuai</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260" w:type="dxa"/>
            <w:vAlign w:val="bottom"/>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6"/>
              </w:rPr>
              <w:t>295</w:t>
            </w:r>
          </w:p>
        </w:tc>
        <w:tc>
          <w:tcPr>
            <w:tcW w:w="280" w:type="dxa"/>
            <w:vAlign w:val="bottom"/>
          </w:tcPr>
          <w:p>
            <w:pPr>
              <w:spacing w:after="0"/>
              <w:rPr>
                <w:sz w:val="19"/>
                <w:szCs w:val="19"/>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1,886</w:t>
            </w:r>
          </w:p>
        </w:tc>
        <w:tc>
          <w:tcPr>
            <w:tcW w:w="6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471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80" w:hanging="424"/>
        <w:spacing w:after="0" w:line="258"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On March 29, 2019, the Group entered into a loan agreement with Yusheng Han with a principal amount of US$5,500 at the simple rate of 4.5% per annum. The loan which was fully repaid in February and March 2020.</w:t>
      </w:r>
    </w:p>
    <w:p>
      <w:pPr>
        <w:spacing w:after="0" w:line="1"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On March 28, 2019, the Group entered into a loan agreement with Shaokun Chuai with a principal amount of US$2,500 at the simple rate of 4.5% per annum. The loan which was fully repaid in May 2020.</w:t>
      </w:r>
    </w:p>
    <w:p>
      <w:pPr>
        <w:ind w:left="540" w:right="120" w:hanging="424"/>
        <w:spacing w:after="0" w:line="250"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Group repurchased 31,246 ordinary shares held by BRT Bio Tech Limited in 2018. The purchase consideration was RMB33,316. The Group repurchased 124,985 and 20,222 Series A+ Preferred shares held by BRT Bio Tech Limited in 2018 and 2019, respectively, at considerations of RMB1,500 and RMB1,294.</w:t>
      </w:r>
    </w:p>
    <w:p>
      <w:pPr>
        <w:spacing w:after="0" w:line="1" w:lineRule="exact"/>
        <w:rPr>
          <w:rFonts w:ascii="Arial" w:cs="Arial" w:eastAsia="Arial" w:hAnsi="Arial"/>
          <w:sz w:val="18"/>
          <w:szCs w:val="18"/>
          <w:color w:val="auto"/>
        </w:rPr>
      </w:pPr>
    </w:p>
    <w:p>
      <w:pPr>
        <w:ind w:left="560"/>
        <w:spacing w:after="0" w:line="260" w:lineRule="auto"/>
        <w:rPr>
          <w:rFonts w:ascii="Arial" w:cs="Arial" w:eastAsia="Arial" w:hAnsi="Arial"/>
          <w:sz w:val="18"/>
          <w:szCs w:val="18"/>
          <w:color w:val="auto"/>
        </w:rPr>
      </w:pPr>
      <w:r>
        <w:rPr>
          <w:rFonts w:ascii="Arial" w:cs="Arial" w:eastAsia="Arial" w:hAnsi="Arial"/>
          <w:sz w:val="18"/>
          <w:szCs w:val="18"/>
          <w:color w:val="auto"/>
        </w:rPr>
        <w:t>The Company recorded compensation expense of nil, RMB771 and nil during the year ended December 31, 2018, 2019 and 2020, respectively, for the amount exceeding the fair value of the ordinary and preferred shares at repurchase date.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139"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As of December 31, 2020, future minimum payments under non-cancelable operating leases with initial terms in excess of one year consist of the following: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RMB</w:t>
            </w:r>
          </w:p>
        </w:tc>
        <w:tc>
          <w:tcPr>
            <w:tcW w:w="50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r>
      <w:tr>
        <w:trPr>
          <w:trHeight w:val="196"/>
        </w:trPr>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For the years ending:</w:t>
            </w: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2021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16,095</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2,467</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15,647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2,398</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2023</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14,453</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2,215</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1,117</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2025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4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56,222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8,617</w:t>
            </w:r>
          </w:p>
        </w:tc>
      </w:tr>
      <w:tr>
        <w:trPr>
          <w:trHeight w:val="20"/>
        </w:trPr>
        <w:tc>
          <w:tcPr>
            <w:tcW w:w="7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Payments under operating leases are expensed on a straight-line basis over the periods of their respective leases. The Group’s lease arrangements have no renewal options, rent escalation clauses, restrictions or contingent rents and are all executed with third parties. For the years ended December 31, 2018, 2019 and 2020, total rental related expenses for all operating leases amounted to RMB8,689, RMB9,435 and RMB12,103 (US$1,855),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expenditure commitments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Group had capital expenditure commitments for the laboratory leasehold improvements and IT system improvements of RMB1,540 (US$236) at December 31, 2020, which are scheduled to be paid within one year.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Group is currently not involved in any legal or administrative proceedings that may have a material adverse impact on the Group’s business, financial position or results of operations.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0940"/>
          </w:cols>
          <w:pgMar w:left="320" w:top="459" w:right="6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BURNING ROCK BIOTECH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139"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18</w:t>
        <w:tab/>
        <w:t>RESTRICTED NET ASSETS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Company’s ability to pay dividends is primarily dependent on the Company receiving distributions of funds from its subsidiary, the VIE and subsidiary of the VIE. Relevant PRC statutory laws and regulations permit payments of dividends by the Company’s PRC subsidiaries, the VIE and subsidiary of the VIE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subsidiaries, the VIE and VIE’s subsidiaries.</w:t>
      </w:r>
    </w:p>
    <w:p>
      <w:pPr>
        <w:spacing w:after="0" w:line="176"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In accordance with the Regulations on Enterprises with Foreign Investment of China and the articles of association of the Company’s PRC subsidiary, a foreign invested enterprise established in the PRC, is required to provide certain statutory reserves, namely the general reserve fund, enterprise expansion fund and staff welfare and bonus fund, all of which are appropriated from net profit as reported in its PRC statutory accounts. A foreign-invested enterprise is required to allocate at least 10% of its annual after tax profit to the general reserve fund until such reserve has reached 50% of its registered capital based on the enterprise’s PRC statutory accounts. Appropriations to the enterprise expansion fund and staff welfare and bonus fund are at the discretion of the board of directors for all foreign-invested enterprises. These reserves can only be used for specific purposes and are not distributable as cash dividends. The WFOE was established as a foreign-invested enterprise and, therefore, is subject to the above mandated restrictions on distributable profits. No appropriations were made to statutory reserves by the WFOE during all periods presented due to losses incurred.</w:t>
      </w:r>
    </w:p>
    <w:p>
      <w:pPr>
        <w:spacing w:after="0" w:line="165"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Additionally, in accordance with the Company Law of the PRC, a domestic enterprise is required to provide statutory surplus fund at least 10% of its annual after - tax profits until such statutory surplus fund has reached 50% of its registered capital based on the enterprise’s PRC statutory financial statements. A domestic enterprise is also required to provide discretionary surplus fund, at the discretion of the board of directors from the net profits reported in the enterprise’s PRC statutory financial statements. The aforementioned reserve funds can only be used for specific purposes and are not distributable as cash dividends. No appropriations were made to statutory reserves by the Company’s PRC subsidiary as a domestic enterprise, the VIE and the VIE’s subsidiaries during all periods presented due to losses incurred.</w:t>
      </w:r>
    </w:p>
    <w:p>
      <w:pPr>
        <w:spacing w:after="0" w:line="178"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Foreign exchange and other regulations in the PRC may further restrict the Group’s VIE from transferring funds to the Company in the form of dividends, loans and advances. Amounts restricted include paid-in capital and statutory reserves of the Group’s PRC subsidiaries and the equity of the VIE and its subsidiaries, as determined pursuant to PRC generally accepted accounting principles. As a result of these PRC laws and regulations, the PRC entities are restricted from transferring a portion of their net assets to the Company. As of December 31, 2019 and 2020, restricted net assets the Company’s PRC subsidiaries, the VIE and the VIE’s subsidiaries were RMB360,486 and RMB502,218 (US$76,968), respectively.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Rights of Each Class of Securities Registered under Section 12 of the Securities Exchange Act of 1934</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American Depositary Shares (“ADSs”), each representing one Class A ordinary share of Burning Rock Biotech Limited (our company) are listed on the Nasdaq Global Market and the shares are registered under Section 12(b) of the Exchange Act. Class A shares represented by the ADSs are held by Citibank, N.A., as depositary, and holders of ADSs will not be treated as holders of the Class A ordinary shares. This exhibit contains a description of the rights of (i) the holders of Class A ordinary shares and (ii) ADS holders.</w:t>
      </w:r>
    </w:p>
    <w:p>
      <w:pPr>
        <w:spacing w:after="0" w:line="291" w:lineRule="exact"/>
        <w:rPr>
          <w:sz w:val="20"/>
          <w:szCs w:val="20"/>
          <w:color w:val="auto"/>
        </w:rPr>
      </w:pPr>
    </w:p>
    <w:p>
      <w:pPr>
        <w:ind w:right="1160"/>
        <w:spacing w:after="0" w:line="377" w:lineRule="auto"/>
        <w:rPr>
          <w:sz w:val="20"/>
          <w:szCs w:val="20"/>
          <w:color w:val="auto"/>
        </w:rPr>
      </w:pPr>
      <w:r>
        <w:rPr>
          <w:rFonts w:ascii="Arial" w:cs="Arial" w:eastAsia="Arial" w:hAnsi="Arial"/>
          <w:sz w:val="18"/>
          <w:szCs w:val="18"/>
          <w:b w:val="1"/>
          <w:bCs w:val="1"/>
          <w:color w:val="auto"/>
        </w:rPr>
        <w:t xml:space="preserve">Description of Ordinary Shares (Items 9.A.3, 9.A.5, 9.A.6, 10.B.3, 10.B.4, 10.B.6, 10.B.7, 10.B.8, 10.B.9 and 10.B.10 of Form 20-F) </w:t>
      </w:r>
      <w:r>
        <w:rPr>
          <w:rFonts w:ascii="Arial" w:cs="Arial" w:eastAsia="Arial" w:hAnsi="Arial"/>
          <w:sz w:val="18"/>
          <w:szCs w:val="18"/>
          <w:b w:val="1"/>
          <w:bCs w:val="1"/>
          <w:i w:val="1"/>
          <w:iCs w:val="1"/>
          <w:color w:val="auto"/>
        </w:rPr>
        <w:t>General</w:t>
      </w:r>
    </w:p>
    <w:p>
      <w:pPr>
        <w:spacing w:after="0" w:line="2"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Holders of Class A ordinary shares and Class B ordinary shares will have the same rights except for voting and conversion rights. All of our outstanding ordinary shares are fully paid and non-assessable. Certificates representing the ordinary shares are issued in registered form. Our shareholders who are non-residents of the Cayman Islands may freely hold and transfer their ordinary shares. Each of our Class A and Class B ordinary shares has a par value US$0.0002.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Each Class B ordinary share is convertible into one (1) Class A ordinary share at any time by the holder thereof. Class A ordinary shares are not convertible into Class B ordinary shares under any circumstances. Upon any sale, transfer, assignment or disposition of any Class B ordinary share by a holder thereof to any person who is not an affiliate of such holder, or upon a change of control of any Class B ordinary share to any person who is not an affiliate of the registered shareholder of such Class B ordinary share, such Class B ordinary share shall be automatically and immediately converted into one Class A ordinary share. Furthermore, each Class B ordinary share will be automatically converted into one Class A ordinary share, if (i) at any time the holder thereof and the affiliates of such holder collectively hold less than 5% of the total number of our issued and outstanding shares, or (ii) at any time the holder thereof and the affiliates of such holder collectively hold less than 8.5% of the total number of our issued and outstanding shares and the holder thereof is no longer providing services to us in a position equivalent to or above vice president.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holders of our ordinary shares are entitled to such dividends as may be declared by our board of directors. Our current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Holders of ordinary shares and Class B ordinary shares will be entitled to the same amount of dividends, if declared.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Holders of Class A ordinary shares and Class B ordinary shares shall, at all times, vote together as one class on all matters submitted to a vote by the members. Each Class A ordinary share shall be entitled to one vote on all matters subject to vote at general and special meetings of our company and each Class B ordinary share shall be entitled to six (6) votes on all matters subject to vote at general and special meetings of our company.</w:t>
      </w:r>
    </w:p>
    <w:p>
      <w:pPr>
        <w:spacing w:after="0" w:line="149"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Voting at any meeting of shareholders is by show of hands unless a poll is demanded. A poll may be demanded by the chairman of such meeting or any one or more shareholders who together hold not less than 10% of the nominal value of the total issued voting shares of our company present in person or by proxy. 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making changes to our current memorandum and articles of association.</w:t>
      </w:r>
    </w:p>
    <w:p>
      <w:pPr>
        <w:sectPr>
          <w:pgSz w:w="11900" w:h="16838" w:orient="portrait"/>
          <w:cols w:equalWidth="0" w:num="1">
            <w:col w:w="11020"/>
          </w:cols>
          <w:pgMar w:left="440" w:top="121" w:right="4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 of Ordinary Shares</w:t>
      </w:r>
    </w:p>
    <w:p>
      <w:pPr>
        <w:spacing w:after="0" w:line="117"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Subject to the restrictions contained in our current articles of association, any of our shareholders may transfer all or any of his or her ordinary shares by an instrument of transfer in the usual or common form or any other form approved by our board of directors.</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960" w:right="560" w:hanging="424"/>
        <w:spacing w:after="0" w:line="308" w:lineRule="auto"/>
        <w:tabs>
          <w:tab w:leader="none" w:pos="9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ordinary share is to be transferred does not exceed four; and</w:t>
      </w:r>
    </w:p>
    <w:p>
      <w:pPr>
        <w:spacing w:after="0" w:line="75" w:lineRule="exact"/>
        <w:rPr>
          <w:rFonts w:ascii="Arial" w:cs="Arial" w:eastAsia="Arial" w:hAnsi="Arial"/>
          <w:sz w:val="18"/>
          <w:szCs w:val="18"/>
          <w:color w:val="auto"/>
        </w:rPr>
      </w:pPr>
    </w:p>
    <w:p>
      <w:pPr>
        <w:ind w:left="960" w:right="240" w:hanging="424"/>
        <w:spacing w:after="0" w:line="277" w:lineRule="auto"/>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fee of such maximum sum as the NASDAQ Global Market may determine to be payable or such lesser sum as our directors may from time to time require is paid to us in respect thereof.</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registration of transfers may, after compliance with any notice required of the NASDAQ Global Market, be suspended and the register of members closed at such times and for such periods as our board of directors may from time to time determine, provided, however, that the registration of transfers shall not be suspended nor the register of members closed for more than 30 days in any year as our board may determine.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On a return of capital on winding up or otherwise (other than on conversion, redemption or purchase of ordinary shares), assets available for distribution among the holders of ordinary shares shall be distributed among the holders of the ordinary shares on a pro rata basis. If our assets available for distribution are insufficient to repay all of the paid-up capital, the assets will be distributed so that the losses are borne by our shareholders proportionately.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Calls on Ordinary Shares and Forfeiture of Ordinary Shares</w:t>
      </w:r>
    </w:p>
    <w:p>
      <w:pPr>
        <w:spacing w:after="0" w:line="11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Our board of directors may from time to 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Ordinary Shares</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Companies Act and our current articles of association permit us to purchase our own shares. In accordance with our current articles of association and provided the necessary shareholders or board approval have been obtained, we may issue shares on terms that are subject to redemption, at our option or at the option of the holders of these shares, on such terms and in such manner, including out of capital, as may be determined by our board of directors.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Variations of Rights of Shares</w:t>
      </w:r>
    </w:p>
    <w:p>
      <w:pPr>
        <w:spacing w:after="0" w:line="117"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 xml:space="preserve">All or any of the special rights attached to any class of shares may, subject to the provisions of the Companies Act, be materially adversely varied with the written consent of the holders of all of the issued shares of that class or with the sanction of an ordinary resolution passed at a general meeting of the holders of the shares of that class.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such existing class of shares. The rights of the holders of any shares shall not be deemed to be materially adversely varied by the creation or issue of shares with preferred or other rights including, without limitation, the creation of shares with enhanced or weighted voting rights.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or Qualifications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rights of our shareholders of Class A and Class B ordinary shares are not materially limited or qualified.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Differences in Corporate Law</w:t>
      </w:r>
      <w:r>
        <w:rPr>
          <w:rFonts w:ascii="Arial" w:cs="Arial" w:eastAsia="Arial" w:hAnsi="Arial"/>
          <w:sz w:val="18"/>
          <w:szCs w:val="18"/>
          <w:color w:val="auto"/>
        </w:rPr>
        <w:t xml:space="preserve">— </w:t>
      </w:r>
      <w:r>
        <w:rPr>
          <w:rFonts w:ascii="Arial" w:cs="Arial" w:eastAsia="Arial" w:hAnsi="Arial"/>
          <w:sz w:val="18"/>
          <w:szCs w:val="18"/>
          <w:i w:val="1"/>
          <w:iCs w:val="1"/>
          <w:color w:val="auto"/>
        </w:rPr>
        <w:t>Anti-Takeover Provisions in the Memorandum and Articles of Association.”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Shareholder Ownership</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There are no provisions in our current memorandum and articles of association that require our company to disclose shareholder ownership above any particular ownership threshold.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Differences in Corporate Law</w:t>
      </w:r>
    </w:p>
    <w:p>
      <w:pPr>
        <w:spacing w:after="0" w:line="117"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The Companies Act is modeled after that of England and Wales but does not follow recent statutory enactments in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State of Delaware.</w:t>
      </w:r>
    </w:p>
    <w:p>
      <w:pPr>
        <w:spacing w:after="0" w:line="14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i w:val="1"/>
          <w:iCs w:val="1"/>
          <w:color w:val="auto"/>
        </w:rPr>
        <w:t xml:space="preserve">Mergers and Similar Arrangements. </w:t>
      </w:r>
      <w:r>
        <w:rPr>
          <w:rFonts w:ascii="Arial" w:cs="Arial" w:eastAsia="Arial" w:hAnsi="Arial"/>
          <w:sz w:val="18"/>
          <w:szCs w:val="18"/>
          <w:color w:val="auto"/>
        </w:rPr>
        <w:t>A merger of two or more constituent companies under Cayman Islands law requires a plan of merger or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to be approved by the directors of each constituent company and authorization by a special resolution of the members of each constituent company.</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Dissenting shareholders have the right to be paid the fair value of their shares (which, if not agreed between the parties, will be determined by the Cayman Islands court) if they follow the required procedures, subject to certain exceptions.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 Court approval is not required for a merger or consolidation which is effected in compliance with these statutory procedures.</w:t>
      </w:r>
    </w:p>
    <w:p>
      <w:pPr>
        <w:spacing w:after="0" w:line="18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In addition, there are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97" w:name="page198"/>
    <w:bookmarkEnd w:id="197"/>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While a dissenting shareholder has the right to express to the court the view that the transaction ought not to be approved, the court can be expected to approve the arrangement if it determines that:</w:t>
      </w:r>
    </w:p>
    <w:p>
      <w:pPr>
        <w:spacing w:after="0" w:line="76" w:lineRule="exact"/>
        <w:rPr>
          <w:sz w:val="20"/>
          <w:szCs w:val="20"/>
          <w:color w:val="auto"/>
        </w:rPr>
      </w:pPr>
    </w:p>
    <w:p>
      <w:pPr>
        <w:ind w:left="960" w:hanging="424"/>
        <w:spacing w:after="0"/>
        <w:tabs>
          <w:tab w:leader="none" w:pos="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The Companies Ac also contains a statutory power of compulsory acquisition which may facilitate the “squeeze out” of dissentient minority shareholder upon a takeover offer. When a takeover offer is made and accepted by holders of 90% of the shares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88"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If an arrangement and reconstruction by way of scheme of arrangement is thus approved, or if a takeover offer is made and accepted, in accordance with the foregoing statutory procedures, the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8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i w:val="1"/>
          <w:iCs w:val="1"/>
          <w:color w:val="auto"/>
        </w:rPr>
        <w:t xml:space="preserve">Shareholders’ Suits. </w:t>
      </w:r>
      <w:r>
        <w:rPr>
          <w:rFonts w:ascii="Arial" w:cs="Arial" w:eastAsia="Arial" w:hAnsi="Arial"/>
          <w:sz w:val="18"/>
          <w:szCs w:val="18"/>
          <w:color w:val="auto"/>
        </w:rPr>
        <w:t>In principle, we will normally be the proper plaintiff and as a general rule a derivative action may not be brought by a</w:t>
      </w:r>
      <w:r>
        <w:rPr>
          <w:rFonts w:ascii="Arial" w:cs="Arial" w:eastAsia="Arial" w:hAnsi="Arial"/>
          <w:sz w:val="18"/>
          <w:szCs w:val="18"/>
          <w:i w:val="1"/>
          <w:iCs w:val="1"/>
          <w:color w:val="auto"/>
        </w:rPr>
        <w:t xml:space="preserve"> </w:t>
      </w:r>
      <w:r>
        <w:rPr>
          <w:rFonts w:ascii="Arial" w:cs="Arial" w:eastAsia="Arial" w:hAnsi="Arial"/>
          <w:sz w:val="18"/>
          <w:szCs w:val="18"/>
          <w:color w:val="auto"/>
        </w:rPr>
        <w:t>minority shareholder. However, based on English authorities, which would in all likelihood be of persuasive authority in the Cayman Islands, there are exceptions to the foregoing principle, including when:</w:t>
      </w:r>
    </w:p>
    <w:p>
      <w:pPr>
        <w:spacing w:after="0" w:line="89" w:lineRule="exact"/>
        <w:rPr>
          <w:sz w:val="20"/>
          <w:szCs w:val="20"/>
          <w:color w:val="auto"/>
        </w:rPr>
      </w:pPr>
    </w:p>
    <w:p>
      <w:pPr>
        <w:ind w:left="960" w:hanging="424"/>
        <w:spacing w:after="0"/>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30"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i w:val="1"/>
          <w:iCs w:val="1"/>
          <w:color w:val="auto"/>
        </w:rPr>
        <w:t xml:space="preserve">Indemnification of Directors and Executive Officers and Limitation of Liability. </w:t>
      </w:r>
      <w:r>
        <w:rPr>
          <w:rFonts w:ascii="Arial" w:cs="Arial" w:eastAsia="Arial" w:hAnsi="Arial"/>
          <w:sz w:val="17"/>
          <w:szCs w:val="17"/>
          <w:color w:val="auto"/>
        </w:rPr>
        <w:t>Cayman Islands law does not limit the extent to which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 memorandum and articles of association permit indemnification of officers and directors for losses, damages, costs and expenses incurred in their capacities as such unless such losses or damages arise from dishonesty or fraud which may attach to such directors or officers. This standard of conduct is generally the same as permitted under the Delaware General Corporation Law for a Delaware corporation. In addition, we intend to enter into indemnification agreements with our directors and senior executive officers that will provide such persons with additional indemnification beyond that provided in our current memorandum and articles of association.</w:t>
      </w:r>
    </w:p>
    <w:p>
      <w:pPr>
        <w:spacing w:after="0" w:line="17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98" w:name="page199"/>
    <w:bookmarkEnd w:id="198"/>
    <w:p>
      <w:pPr>
        <w:ind w:right="180" w:firstLine="440"/>
        <w:spacing w:after="0" w:line="27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Anti-Takeover Provisions in the Memorandum and Articles of Association. </w:t>
      </w:r>
      <w:r>
        <w:rPr>
          <w:rFonts w:ascii="Arial" w:cs="Arial" w:eastAsia="Arial" w:hAnsi="Arial"/>
          <w:sz w:val="17"/>
          <w:szCs w:val="17"/>
          <w:color w:val="auto"/>
        </w:rPr>
        <w:t>Some provisions of our current memorandum and articles of</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71"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current memorandum and articles of association, as amended and restated from time to time, for what they believe in good faith to be in the best interests of our company.</w:t>
      </w:r>
    </w:p>
    <w:p>
      <w:pPr>
        <w:spacing w:after="0" w:line="12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i w:val="1"/>
          <w:iCs w:val="1"/>
          <w:color w:val="auto"/>
        </w:rPr>
        <w:t xml:space="preserve">Directors’ Fiduciary Duties. </w:t>
      </w:r>
      <w:r>
        <w:rPr>
          <w:rFonts w:ascii="Arial" w:cs="Arial" w:eastAsia="Arial" w:hAnsi="Arial"/>
          <w:sz w:val="17"/>
          <w:szCs w:val="17"/>
          <w:color w:val="auto"/>
        </w:rPr>
        <w:t>Under Delaware corporate law, a director of a Delaware corporation has a fiduciary duty to the corporation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82"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As a matter of Cayman Islands law, a director of a Cayman Islands company is in the position of a fiduciary with respect to the company and therefore it is considered that he owes the following duties to the company—a duty to act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in the best interests of the company, a duty not to make a profit based on his or her position as director (unless the company permits him to do so) and a duty not to put himself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92" w:lineRule="exact"/>
        <w:rPr>
          <w:sz w:val="20"/>
          <w:szCs w:val="20"/>
          <w:color w:val="auto"/>
        </w:rPr>
      </w:pPr>
    </w:p>
    <w:p>
      <w:pPr>
        <w:jc w:val="both"/>
        <w:ind w:right="200" w:firstLine="440"/>
        <w:spacing w:after="0" w:line="259" w:lineRule="auto"/>
        <w:rPr>
          <w:sz w:val="20"/>
          <w:szCs w:val="20"/>
          <w:color w:val="auto"/>
        </w:rPr>
      </w:pPr>
      <w:r>
        <w:rPr>
          <w:rFonts w:ascii="Arial" w:cs="Arial" w:eastAsia="Arial" w:hAnsi="Arial"/>
          <w:sz w:val="18"/>
          <w:szCs w:val="18"/>
          <w:i w:val="1"/>
          <w:iCs w:val="1"/>
          <w:color w:val="auto"/>
        </w:rPr>
        <w:t>Shareholder Action by Written Consent</w:t>
      </w:r>
      <w:r>
        <w:rPr>
          <w:rFonts w:ascii="Arial" w:cs="Arial" w:eastAsia="Arial" w:hAnsi="Arial"/>
          <w:sz w:val="18"/>
          <w:szCs w:val="18"/>
          <w:color w:val="auto"/>
        </w:rPr>
        <w:t>. Under the Delaware General Corporation Law, a corporation may eliminate the right of shareholders to</w:t>
      </w:r>
      <w:r>
        <w:rPr>
          <w:rFonts w:ascii="Arial" w:cs="Arial" w:eastAsia="Arial" w:hAnsi="Arial"/>
          <w:sz w:val="18"/>
          <w:szCs w:val="18"/>
          <w:i w:val="1"/>
          <w:iCs w:val="1"/>
          <w:color w:val="auto"/>
        </w:rPr>
        <w:t xml:space="preserve"> </w:t>
      </w:r>
      <w:r>
        <w:rPr>
          <w:rFonts w:ascii="Arial" w:cs="Arial" w:eastAsia="Arial" w:hAnsi="Arial"/>
          <w:sz w:val="18"/>
          <w:szCs w:val="18"/>
          <w:color w:val="auto"/>
        </w:rPr>
        <w:t>act by written consent by amendment to its certificate of incorporation. Our current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7"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i w:val="1"/>
          <w:iCs w:val="1"/>
          <w:color w:val="auto"/>
        </w:rPr>
        <w:t xml:space="preserve">Shareholder Proposals. </w:t>
      </w:r>
      <w:r>
        <w:rPr>
          <w:rFonts w:ascii="Arial" w:cs="Arial" w:eastAsia="Arial" w:hAnsi="Arial"/>
          <w:sz w:val="16"/>
          <w:szCs w:val="16"/>
          <w:color w:val="auto"/>
        </w:rPr>
        <w:t>Under the Delaware General Corporation Law, a shareholder has the right to put any proposal before the annual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an exempted Cayman Islands company, we are not obliged by law to call shareholders’ annual general meetings.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i w:val="1"/>
          <w:iCs w:val="1"/>
          <w:color w:val="auto"/>
        </w:rPr>
        <w:t>Cumulative Voting</w:t>
      </w:r>
      <w:r>
        <w:rPr>
          <w:rFonts w:ascii="Arial" w:cs="Arial" w:eastAsia="Arial" w:hAnsi="Arial"/>
          <w:sz w:val="18"/>
          <w:szCs w:val="18"/>
          <w:color w:val="auto"/>
        </w:rPr>
        <w:t>. Under the Delaware General Corporation Law, cumulative voting for elections of directors is not permitted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current memorandum and articles of association do not provide for cumulative voting. As a result, our shareholders are not afforded any less protections or rights on this issue than shareholders of a Delaware corporation.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99" w:name="page200"/>
    <w:bookmarkEnd w:id="199"/>
    <w:p>
      <w:pPr>
        <w:ind w:right="100" w:firstLine="440"/>
        <w:spacing w:after="0" w:line="28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Removal of Directors. </w:t>
      </w:r>
      <w:r>
        <w:rPr>
          <w:rFonts w:ascii="Arial" w:cs="Arial" w:eastAsia="Arial" w:hAnsi="Arial"/>
          <w:sz w:val="17"/>
          <w:szCs w:val="17"/>
          <w:color w:val="auto"/>
        </w:rPr>
        <w:t>Under the Delaware General Corporation Law, a director of a corporation with a classified board may be removed only for</w:t>
      </w:r>
      <w:r>
        <w:rPr>
          <w:rFonts w:ascii="Arial" w:cs="Arial" w:eastAsia="Arial" w:hAnsi="Arial"/>
          <w:sz w:val="17"/>
          <w:szCs w:val="17"/>
          <w:i w:val="1"/>
          <w:iCs w:val="1"/>
          <w:color w:val="auto"/>
        </w:rPr>
        <w:t xml:space="preserve"> </w:t>
      </w:r>
      <w:r>
        <w:rPr>
          <w:rFonts w:ascii="Arial" w:cs="Arial" w:eastAsia="Arial" w:hAnsi="Arial"/>
          <w:sz w:val="17"/>
          <w:szCs w:val="17"/>
          <w:color w:val="auto"/>
        </w:rPr>
        <w:t>cause with the approval of a majority of the outstanding shares entitled to vote, unless the certificate of incorporation provides otherwise. Under our current memorandum and articles of association, directors may be removed by an ordinary resolution of shareholders.</w:t>
      </w:r>
    </w:p>
    <w:p>
      <w:pPr>
        <w:spacing w:after="0" w:line="165"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in the best interests of the company and for a proper corporate purpose and not with the effect of constituting a fraud on the minority shareholders.</w:t>
      </w:r>
    </w:p>
    <w:p>
      <w:pPr>
        <w:spacing w:after="0" w:line="18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i w:val="1"/>
          <w:iCs w:val="1"/>
          <w:color w:val="auto"/>
        </w:rPr>
        <w:t>Dissolution; Winding Up</w:t>
      </w:r>
      <w:r>
        <w:rPr>
          <w:rFonts w:ascii="Arial" w:cs="Arial" w:eastAsia="Arial" w:hAnsi="Arial"/>
          <w:sz w:val="17"/>
          <w:szCs w:val="17"/>
          <w:color w:val="auto"/>
        </w:rPr>
        <w:t>. Under the Delaware General Corporation Law, unless the board of directors approves the proposal to dissolve,</w:t>
      </w:r>
      <w:r>
        <w:rPr>
          <w:rFonts w:ascii="Arial" w:cs="Arial" w:eastAsia="Arial" w:hAnsi="Arial"/>
          <w:sz w:val="17"/>
          <w:szCs w:val="17"/>
          <w:i w:val="1"/>
          <w:iCs w:val="1"/>
          <w:color w:val="auto"/>
        </w:rPr>
        <w:t xml:space="preserve"> </w:t>
      </w:r>
      <w:r>
        <w:rPr>
          <w:rFonts w:ascii="Arial" w:cs="Arial" w:eastAsia="Arial" w:hAnsi="Arial"/>
          <w:sz w:val="17"/>
          <w:szCs w:val="17"/>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Under the Companies Act and our current memorandum and articles of association, our company may be dissolved, liquidated or wound up with the sanction of a special resolution at a meeting.</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our current memorandum and articles of association, if our share capital is divided into more than one class of shares, we may vary the rights attached to any class only with the sanction of an ordinary resolution passed at a general meeting of the holders of the shares of that class or the written consent the holders of all of the issued shares of that class.</w:t>
      </w:r>
    </w:p>
    <w:p>
      <w:pPr>
        <w:spacing w:after="0" w:line="188"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7"/>
          <w:szCs w:val="17"/>
          <w:i w:val="1"/>
          <w:iCs w:val="1"/>
          <w:color w:val="auto"/>
        </w:rPr>
        <w:t>Amendment of Governing Documents</w:t>
      </w:r>
      <w:r>
        <w:rPr>
          <w:rFonts w:ascii="Arial" w:cs="Arial" w:eastAsia="Arial" w:hAnsi="Arial"/>
          <w:sz w:val="17"/>
          <w:szCs w:val="17"/>
          <w:color w:val="auto"/>
        </w:rPr>
        <w:t>. Under the Delaware General Corporation Law, a corporation’s governing documents may be amended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approval of a majority of the outstanding shares entitled to vote, unless the certificate of incorporation provides otherwise. As permitted by Cayman Islands law, our current articles of association may only be amended by a special resolution of shareholders.</w:t>
      </w:r>
    </w:p>
    <w:p>
      <w:pPr>
        <w:spacing w:after="0" w:line="165"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i w:val="1"/>
          <w:iCs w:val="1"/>
          <w:color w:val="auto"/>
        </w:rPr>
        <w:t xml:space="preserve">Rights of Non-Resident or Foreign Shareholders. </w:t>
      </w:r>
      <w:r>
        <w:rPr>
          <w:rFonts w:ascii="Arial" w:cs="Arial" w:eastAsia="Arial" w:hAnsi="Arial"/>
          <w:sz w:val="16"/>
          <w:szCs w:val="16"/>
          <w:color w:val="auto"/>
        </w:rPr>
        <w:t>There are no limitations imposed by our current memorandum and articles of association on the</w:t>
      </w:r>
      <w:r>
        <w:rPr>
          <w:rFonts w:ascii="Arial" w:cs="Arial" w:eastAsia="Arial" w:hAnsi="Arial"/>
          <w:sz w:val="16"/>
          <w:szCs w:val="16"/>
          <w:i w:val="1"/>
          <w:iCs w:val="1"/>
          <w:color w:val="auto"/>
        </w:rPr>
        <w:t xml:space="preserve"> </w:t>
      </w:r>
      <w:r>
        <w:rPr>
          <w:rFonts w:ascii="Arial" w:cs="Arial" w:eastAsia="Arial" w:hAnsi="Arial"/>
          <w:sz w:val="16"/>
          <w:szCs w:val="16"/>
          <w:color w:val="auto"/>
        </w:rPr>
        <w:t>rights of non-resident or foreign shareholders to hold or exercise voting rights on our shares. In addition, there are no provisions in our current memorandum and articles of association that require our company to disclose shareholder ownership above any particular ownership threshold.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00" w:name="page201"/>
    <w:bookmarkEnd w:id="200"/>
    <w:p>
      <w:pPr>
        <w:ind w:right="380" w:firstLine="4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Directors’ Power to Issue Shares. </w:t>
      </w:r>
      <w:r>
        <w:rPr>
          <w:rFonts w:ascii="Arial" w:cs="Arial" w:eastAsia="Arial" w:hAnsi="Arial"/>
          <w:sz w:val="18"/>
          <w:szCs w:val="18"/>
          <w:color w:val="auto"/>
        </w:rPr>
        <w:t>Subject to applicable law, our board of directors is empowered to issue or allot shares or grant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with or without preferred, deferred, qualified or other special rights or restrictions.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from time to time by ordinary resolution:</w:t>
      </w:r>
    </w:p>
    <w:p>
      <w:pPr>
        <w:spacing w:after="0" w:line="131" w:lineRule="exact"/>
        <w:rPr>
          <w:sz w:val="20"/>
          <w:szCs w:val="20"/>
          <w:color w:val="auto"/>
        </w:rPr>
      </w:pPr>
    </w:p>
    <w:p>
      <w:pPr>
        <w:ind w:left="960" w:hanging="424"/>
        <w:spacing w:after="0"/>
        <w:tabs>
          <w:tab w:leader="none" w:pos="9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increase the share capital by such sum, to be divided into shares of such classes and amount, as the resolution shall prescribe;</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or</w:t>
      </w:r>
    </w:p>
    <w:p>
      <w:pPr>
        <w:spacing w:after="0" w:line="130"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We may by special resolution, subject to any confirmation or consent required by the Companies Act, reduce our share capital or any capital redemption reserve in any manner permitted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Debt Securities, Warrants and Rights and Other Securities (Items 9.A.7, 12.A, 12.B and 12.C of Form 20-F)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American Depositary Shares (Items 12.D.1 and 12.D.2 of Form 20-F)</w:t>
      </w:r>
    </w:p>
    <w:p>
      <w:pPr>
        <w:spacing w:after="0" w:line="12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Citibank, N.A. acts as the depositary for the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N.A.—Hong Kong, located at 9/F, Citi Tower, One Bay East, 83 Hon Hai Road, Kwun Tong, Kowloon, Hong Kong.</w:t>
      </w:r>
    </w:p>
    <w:p>
      <w:pPr>
        <w:spacing w:after="0" w:line="176"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We appointed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(www.sec.gov). Please refer to Registration Number 333-238921 when retrieving such copy.</w:t>
      </w:r>
    </w:p>
    <w:p>
      <w:pPr>
        <w:spacing w:after="0" w:line="14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201" w:name="page202"/>
    <w:bookmarkEnd w:id="201"/>
    <w:p>
      <w:pPr>
        <w:ind w:right="8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ADS represents the right to receive, and to exercise the beneficial ownership interests in, one Class A ordinary share that is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6"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As an owner of ADSs, you are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Class A ordinary shares will continue to be governed by the laws of the Cayman Islands, which may be different from the laws in the United States.</w:t>
      </w:r>
    </w:p>
    <w:p>
      <w:pPr>
        <w:spacing w:after="0" w:line="1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8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You being an owner of ADSs, we will not treat you as one of our shareholders and you will not have direct shareholder rights. The depositary will hold on your behalf the shareholder rights attached to the underlying Class A ordinary shares represented by your ADSs. As an owner of ADSs you will be able to exercise the shareholders rights for the Class A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8"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7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registration of the Class A ordinary shares in the name of the depositary or the custodian shall, to the maximum extent permitted by applicable law, vest in the depositary or the custodian the record ownership in the applicable Class A ordinary shares with the beneficial ownership rights and interests in such Class A ordinary shares being at all times vested with the beneficial owners of the ADSs representing the Class A ordinary shares.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02" w:name="page203"/>
    <w:bookmarkEnd w:id="202"/>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Distributions</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17"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the Cayman Islands.</w:t>
      </w:r>
    </w:p>
    <w:p>
      <w:pPr>
        <w:spacing w:after="0" w:line="14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17"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Whenever we make a free distribution of Class A ordinary shares for the securities on deposit with the custodian, we will deposit the applicable number of Class A ordinary shares with the custodian. Upon receipt of confirmation of such deposit, the depositary will </w:t>
      </w:r>
      <w:r>
        <w:rPr>
          <w:rFonts w:ascii="Arial" w:cs="Arial" w:eastAsia="Arial" w:hAnsi="Arial"/>
          <w:sz w:val="17"/>
          <w:szCs w:val="17"/>
          <w:u w:val="single" w:color="auto"/>
          <w:color w:val="auto"/>
        </w:rPr>
        <w:t>either</w:t>
      </w:r>
      <w:r>
        <w:rPr>
          <w:rFonts w:ascii="Arial" w:cs="Arial" w:eastAsia="Arial" w:hAnsi="Arial"/>
          <w:sz w:val="17"/>
          <w:szCs w:val="17"/>
          <w:color w:val="auto"/>
        </w:rPr>
        <w:t xml:space="preserve"> distribute to holders new ADSs representing the Class A ordinary shares deposited </w:t>
      </w:r>
      <w:r>
        <w:rPr>
          <w:rFonts w:ascii="Arial" w:cs="Arial" w:eastAsia="Arial" w:hAnsi="Arial"/>
          <w:sz w:val="17"/>
          <w:szCs w:val="17"/>
          <w:u w:val="single" w:color="auto"/>
          <w:color w:val="auto"/>
        </w:rPr>
        <w:t>or</w:t>
      </w:r>
      <w:r>
        <w:rPr>
          <w:rFonts w:ascii="Arial" w:cs="Arial" w:eastAsia="Arial" w:hAnsi="Arial"/>
          <w:sz w:val="17"/>
          <w:szCs w:val="17"/>
          <w:color w:val="auto"/>
        </w:rPr>
        <w:t xml:space="preserve"> modify the ADS-to-Class A ordinary shares ratio, in which case each ADS you hold will represent rights and interests in the additional Class A ordinary shares so deposited. Only whole new ADSs will be distributed. Fractional entitlements will be sold and the proceeds of such sale will be distributed as in the case of a cash distribution.</w:t>
      </w:r>
    </w:p>
    <w:p>
      <w:pPr>
        <w:spacing w:after="0" w:line="176"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The distribution of new ADSs or the modification of the ADS-to-Class A ordinary shares ratio upon a distribution of Class A ordinary shares will be made net of the fees, expenses, taxes and governmental charges payable by holders under the terms of the deposit agreement. In order to pay such taxes or governmental charges, the depositary may sell all or a portion of the new Class A ordinary shares so distributed.</w:t>
      </w:r>
    </w:p>
    <w:p>
      <w:pPr>
        <w:spacing w:after="0" w:line="16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Class A ordinary shares received upon the terms described in the deposit agreement and will distribute the proceeds of the sale as in the case of a distribution of cash.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17"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Whenever we intend to distribute rights to subscribe for additional Class A ordinary shares, we will give prior notice to the depositary and we will assist the depositary in determining whether it is lawful and reasonably practicable to distribute rights to subscribe for additional ADSs to holders.</w:t>
      </w:r>
    </w:p>
    <w:p>
      <w:pPr>
        <w:spacing w:after="0" w:line="124" w:lineRule="exact"/>
        <w:rPr>
          <w:sz w:val="20"/>
          <w:szCs w:val="20"/>
          <w:color w:val="auto"/>
        </w:rPr>
      </w:pPr>
    </w:p>
    <w:p>
      <w:pPr>
        <w:ind w:right="220" w:firstLine="440"/>
        <w:spacing w:after="0" w:line="296" w:lineRule="auto"/>
        <w:rPr>
          <w:sz w:val="20"/>
          <w:szCs w:val="20"/>
          <w:color w:val="auto"/>
        </w:rPr>
      </w:pPr>
      <w:r>
        <w:rPr>
          <w:rFonts w:ascii="Arial" w:cs="Arial" w:eastAsia="Arial" w:hAnsi="Arial"/>
          <w:sz w:val="16"/>
          <w:szCs w:val="16"/>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Class A ordinary shares other than in the form of ADSs.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03" w:name="page204"/>
    <w:bookmarkEnd w:id="2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will not distribute the rights to you if:</w:t>
      </w:r>
    </w:p>
    <w:p>
      <w:pPr>
        <w:spacing w:after="0" w:line="131" w:lineRule="exact"/>
        <w:rPr>
          <w:sz w:val="20"/>
          <w:szCs w:val="20"/>
          <w:color w:val="auto"/>
        </w:rPr>
      </w:pPr>
    </w:p>
    <w:p>
      <w:pPr>
        <w:ind w:left="960" w:hanging="424"/>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84"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1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Whenever we intend to distribute property other than cash, Class A ordinary shares or rights to subscribe for additional Class A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distribution will be made net of fees, expenses, taxes and governmental charges payable by holders under the terms of the deposit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order to pay such taxes and governmental charges, the depositary may sell all or a portion of the property received.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31" w:lineRule="exact"/>
        <w:rPr>
          <w:sz w:val="20"/>
          <w:szCs w:val="20"/>
          <w:color w:val="auto"/>
        </w:rPr>
      </w:pPr>
    </w:p>
    <w:p>
      <w:pPr>
        <w:ind w:left="960" w:hanging="424"/>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Redemption</w:t>
      </w:r>
    </w:p>
    <w:p>
      <w:pPr>
        <w:spacing w:after="0" w:line="11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24"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may determine.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Affecting Class A ordinary shares</w:t>
      </w:r>
    </w:p>
    <w:p>
      <w:pPr>
        <w:spacing w:after="0" w:line="12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Class A ordinary shares held on deposit for your ADSs may change from time to time. For example, there may be a change in nominal or par value, split-up, cancellation, consolidation or any other reclassification of such Class A ordinary shares or a recapitalization, reorganization, merger, consolidation or sale of assets of the Company.</w:t>
      </w:r>
    </w:p>
    <w:p>
      <w:pPr>
        <w:spacing w:after="0" w:line="18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If any such change were to occur, your ADSs would, to the extent permitted by law and the deposit agreement, represent the right to receive the property received or exchanged in respect of the Class A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ADSs upon Deposit of Class A ordinary shares</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Class A ordinary shares to the custodian. Your ability to deposit Class A ordinary shares and receive ADSs may be limited by U.S. and the Cayman Islands legal considerations applicable at the time of deposit.</w:t>
      </w:r>
    </w:p>
    <w:p>
      <w:pPr>
        <w:spacing w:after="0" w:line="187"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The issuance of ADSs may be delayed until the depositary or the custodian receives confirmation that all required approvals have been given and that the Class A ordinary shares have been duly transferred to the custodian. The depositary will only issue ADSs in whole numbers.</w:t>
      </w:r>
    </w:p>
    <w:p>
      <w:pPr>
        <w:spacing w:after="0" w:line="14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When you make a deposit of Class A ordinary shares, you will be responsible for transferring good and valid title to the depositary. As such, you will be deemed to represent and warrant that:</w:t>
      </w:r>
    </w:p>
    <w:p>
      <w:pPr>
        <w:spacing w:after="0" w:line="76" w:lineRule="exact"/>
        <w:rPr>
          <w:sz w:val="20"/>
          <w:szCs w:val="20"/>
          <w:color w:val="auto"/>
        </w:rPr>
      </w:pPr>
    </w:p>
    <w:p>
      <w:pPr>
        <w:ind w:left="960" w:hanging="424"/>
        <w:spacing w:after="0"/>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Class A ordinary shares are duly authorized, validly issued, fully paid, non-assessable and legally obtained.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Class A ordinary shares have been validly waived or exercised.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You are duly authorized to deposit the Class A ordinary shares.</w:t>
      </w:r>
    </w:p>
    <w:p>
      <w:pPr>
        <w:spacing w:after="0" w:line="130" w:lineRule="exact"/>
        <w:rPr>
          <w:rFonts w:ascii="Arial" w:cs="Arial" w:eastAsia="Arial" w:hAnsi="Arial"/>
          <w:sz w:val="18"/>
          <w:szCs w:val="18"/>
          <w:color w:val="auto"/>
        </w:rPr>
      </w:pPr>
    </w:p>
    <w:p>
      <w:pPr>
        <w:ind w:left="960" w:right="520" w:hanging="424"/>
        <w:spacing w:after="0" w:line="263"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Class A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Class A ordinary shares presented for deposit have not been stripped of any rights or entitlements.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05" w:name="page206"/>
    <w:bookmarkEnd w:id="205"/>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of the representations or warranties are incorrect in any way, we and the depositary may, at your cost and expense, take any and all actions necessary to correct the consequences of the misrepresentations.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76" w:lineRule="exact"/>
        <w:rPr>
          <w:sz w:val="20"/>
          <w:szCs w:val="20"/>
          <w:color w:val="auto"/>
        </w:rPr>
      </w:pPr>
    </w:p>
    <w:p>
      <w:pPr>
        <w:ind w:left="960" w:hanging="424"/>
        <w:spacing w:after="0"/>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30" w:lineRule="exact"/>
        <w:rPr>
          <w:rFonts w:ascii="Arial" w:cs="Arial" w:eastAsia="Arial" w:hAnsi="Arial"/>
          <w:sz w:val="18"/>
          <w:szCs w:val="18"/>
          <w:color w:val="auto"/>
        </w:rPr>
      </w:pPr>
    </w:p>
    <w:p>
      <w:pPr>
        <w:ind w:left="960" w:right="540" w:hanging="424"/>
        <w:spacing w:after="0" w:line="277" w:lineRule="auto"/>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70" w:lineRule="exact"/>
        <w:rPr>
          <w:sz w:val="20"/>
          <w:szCs w:val="20"/>
          <w:color w:val="auto"/>
        </w:rPr>
      </w:pPr>
    </w:p>
    <w:p>
      <w:pPr>
        <w:ind w:right="540" w:firstLine="44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Class A ordinary shares Upon Cancellation of ADSs</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Class A ordinary shares at the custodian’s offices. Your ability to withdraw the Class A ordinary shares held in respect of the ADSs may be limited by U.S. and Cayman Islands law considerations applicable at the time of withdrawal. In order to withdraw the Class A ordinary shares represented by your ADSs, you will be required to pay to the depositary the fees for cancellation of ADSs and any charges and taxes payable upon the transfer of the Class A ordinary shares. You assume the risk for delivery of all funds and securities upon withdrawal. Once canceled, the ADSs will not have any rights under the deposit agreement.</w:t>
      </w:r>
    </w:p>
    <w:p>
      <w:pPr>
        <w:spacing w:after="0" w:line="192"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If you hold ADSs registered in your name, the depositary may ask you to provide proof of identity and genuineness of any signature and such other documents as the depositary may deem appropriate before it will cancel your ADSs. The withdrawal of the Class A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31" w:lineRule="exact"/>
        <w:rPr>
          <w:sz w:val="20"/>
          <w:szCs w:val="20"/>
          <w:color w:val="auto"/>
        </w:rPr>
      </w:pPr>
    </w:p>
    <w:p>
      <w:pPr>
        <w:ind w:left="960" w:right="40" w:hanging="424"/>
        <w:spacing w:after="0" w:line="277" w:lineRule="auto"/>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Class A ordinary shares or ADSs are closed, or (ii) Class A ordinary shares are immobilized on account of a shareholders’ meeting or a payment of dividends.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06" w:name="page207"/>
    <w:bookmarkEnd w:id="20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Voting Rights</w:t>
      </w:r>
    </w:p>
    <w:p>
      <w:pPr>
        <w:spacing w:after="0" w:line="121" w:lineRule="exact"/>
        <w:rPr>
          <w:sz w:val="20"/>
          <w:szCs w:val="20"/>
          <w:color w:val="auto"/>
        </w:rPr>
      </w:pPr>
    </w:p>
    <w:p>
      <w:pPr>
        <w:ind w:left="4" w:right="420" w:firstLine="440"/>
        <w:spacing w:after="0" w:line="342" w:lineRule="auto"/>
        <w:rPr>
          <w:sz w:val="20"/>
          <w:szCs w:val="20"/>
          <w:color w:val="auto"/>
        </w:rPr>
      </w:pPr>
      <w:r>
        <w:rPr>
          <w:rFonts w:ascii="Arial" w:cs="Arial" w:eastAsia="Arial" w:hAnsi="Arial"/>
          <w:sz w:val="16"/>
          <w:szCs w:val="16"/>
          <w:color w:val="auto"/>
        </w:rPr>
        <w:t>As a holder, you generally have the right under the deposit agreement to instruct the depositary to exercise the voting rights for the Class A ordinary shares represented by your ADSs. The voting rights of holders of Class A ordinary shares are described in “Description of Share Capital”.</w:t>
      </w:r>
    </w:p>
    <w:p>
      <w:pPr>
        <w:spacing w:after="0" w:line="124" w:lineRule="exact"/>
        <w:rPr>
          <w:sz w:val="20"/>
          <w:szCs w:val="20"/>
          <w:color w:val="auto"/>
        </w:rPr>
      </w:pPr>
    </w:p>
    <w:p>
      <w:pPr>
        <w:jc w:val="both"/>
        <w:ind w:left="4" w:right="260" w:firstLine="440"/>
        <w:spacing w:after="0" w:line="263"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If the depositary timely receives voting instructions from a holder of ADSs, it will endeavor to vote the securities (in person or by proxy)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represented by the holder’s ADSs as follows:</w:t>
      </w:r>
    </w:p>
    <w:p>
      <w:pPr>
        <w:spacing w:after="0" w:line="116" w:lineRule="exact"/>
        <w:rPr>
          <w:sz w:val="20"/>
          <w:szCs w:val="20"/>
          <w:color w:val="auto"/>
        </w:rPr>
      </w:pPr>
    </w:p>
    <w:p>
      <w:pPr>
        <w:jc w:val="both"/>
        <w:ind w:left="964" w:hanging="424"/>
        <w:spacing w:after="0" w:line="342" w:lineRule="auto"/>
        <w:tabs>
          <w:tab w:leader="none" w:pos="964"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t>In the event of voting by show of hands</w:t>
      </w:r>
      <w:r>
        <w:rPr>
          <w:rFonts w:ascii="Arial" w:cs="Arial" w:eastAsia="Arial" w:hAnsi="Arial"/>
          <w:sz w:val="16"/>
          <w:szCs w:val="16"/>
          <w:color w:val="auto"/>
        </w:rPr>
        <w:t>, the depositary will vote (or cause the custodian to vote) all Class A ordinary shares held on deposit</w:t>
      </w:r>
      <w:r>
        <w:rPr>
          <w:rFonts w:ascii="Arial" w:cs="Arial" w:eastAsia="Arial" w:hAnsi="Arial"/>
          <w:sz w:val="16"/>
          <w:szCs w:val="16"/>
          <w:i w:val="1"/>
          <w:iCs w:val="1"/>
          <w:color w:val="auto"/>
        </w:rPr>
        <w:t xml:space="preserve"> </w:t>
      </w:r>
      <w:r>
        <w:rPr>
          <w:rFonts w:ascii="Arial" w:cs="Arial" w:eastAsia="Arial" w:hAnsi="Arial"/>
          <w:sz w:val="16"/>
          <w:szCs w:val="16"/>
          <w:color w:val="auto"/>
        </w:rPr>
        <w:t>at that time in accordance with the voting instructions received from a majority of holders of ADSs who provide timely voting instructions.</w:t>
      </w:r>
    </w:p>
    <w:p>
      <w:pPr>
        <w:spacing w:after="0" w:line="29" w:lineRule="exact"/>
        <w:rPr>
          <w:rFonts w:ascii="Arial" w:cs="Arial" w:eastAsia="Arial" w:hAnsi="Arial"/>
          <w:sz w:val="16"/>
          <w:szCs w:val="16"/>
          <w:color w:val="auto"/>
        </w:rPr>
      </w:pPr>
    </w:p>
    <w:p>
      <w:pPr>
        <w:ind w:left="964" w:right="520" w:hanging="424"/>
        <w:spacing w:after="0" w:line="277" w:lineRule="auto"/>
        <w:tabs>
          <w:tab w:leader="none" w:pos="964"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Class A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timely received from the holders of ADSs.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Securities for which no voting instructions have been received will not be voted (except (a) as set forth above in the case voting is by show of hands,</w:t>
      </w:r>
    </w:p>
    <w:p>
      <w:pPr>
        <w:spacing w:after="0" w:line="46" w:lineRule="exact"/>
        <w:rPr>
          <w:sz w:val="20"/>
          <w:szCs w:val="20"/>
          <w:color w:val="auto"/>
        </w:rPr>
      </w:pPr>
    </w:p>
    <w:p>
      <w:pPr>
        <w:ind w:left="4" w:right="20" w:hanging="4"/>
        <w:spacing w:after="0" w:line="281" w:lineRule="auto"/>
        <w:tabs>
          <w:tab w:leader="none" w:pos="259"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the event of voting by poll, holders of ADSs in respect of which no timely voting instructions have been received shall be deemed to have instructed the depositary to give a discretionary proxy to a person designated by us to vote the common shares represented by such holders’ ADSs; provided, however, that no such discretionary proxy shall be given with respect to any matter to be voted upon as to which we inform the depositary that</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we do not wish such proxy to be given, (ii) substantial opposition exists, or (iii) the rights of holders of ordinary shares may be adversely affected,</w:t>
      </w:r>
    </w:p>
    <w:p>
      <w:pPr>
        <w:spacing w:after="0" w:line="32" w:lineRule="exact"/>
        <w:rPr>
          <w:rFonts w:ascii="Arial" w:cs="Arial" w:eastAsia="Arial" w:hAnsi="Arial"/>
          <w:sz w:val="16"/>
          <w:szCs w:val="16"/>
          <w:color w:val="auto"/>
        </w:rPr>
      </w:pPr>
    </w:p>
    <w:p>
      <w:pPr>
        <w:jc w:val="both"/>
        <w:ind w:left="4" w:right="20"/>
        <w:spacing w:after="0" w:line="255" w:lineRule="auto"/>
        <w:rPr>
          <w:rFonts w:ascii="Arial" w:cs="Arial" w:eastAsia="Arial" w:hAnsi="Arial"/>
          <w:sz w:val="16"/>
          <w:szCs w:val="16"/>
          <w:color w:val="auto"/>
        </w:rPr>
      </w:pPr>
      <w:r>
        <w:rPr>
          <w:rFonts w:ascii="Arial" w:cs="Arial" w:eastAsia="Arial" w:hAnsi="Arial"/>
          <w:sz w:val="18"/>
          <w:szCs w:val="18"/>
          <w:color w:val="auto"/>
        </w:rPr>
        <w:t>and (c)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ectPr>
          <w:pgSz w:w="11900" w:h="16838" w:orient="portrait"/>
          <w:cols w:equalWidth="0" w:num="1">
            <w:col w:w="11004"/>
          </w:cols>
          <w:pgMar w:left="436" w:top="270" w:right="45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5"/>
          <w:szCs w:val="15"/>
          <w:b w:val="1"/>
          <w:bCs w:val="1"/>
          <w:i w:val="1"/>
          <w:iCs w:val="1"/>
          <w:color w:val="auto"/>
        </w:rPr>
        <w:t>Service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4920"/>
        <w:spacing w:after="0"/>
        <w:rPr>
          <w:sz w:val="20"/>
          <w:szCs w:val="20"/>
          <w:color w:val="auto"/>
        </w:rPr>
      </w:pPr>
      <w:r>
        <w:rPr>
          <w:rFonts w:ascii="Arial" w:cs="Arial" w:eastAsia="Arial" w:hAnsi="Arial"/>
          <w:sz w:val="13"/>
          <w:szCs w:val="13"/>
          <w:b w:val="1"/>
          <w:bCs w:val="1"/>
          <w:i w:val="1"/>
          <w:iCs w:val="1"/>
          <w:color w:val="auto"/>
        </w:rPr>
        <w:t>Fees</w:t>
      </w:r>
    </w:p>
    <w:p>
      <w:pPr>
        <w:spacing w:after="0" w:line="174" w:lineRule="exact"/>
        <w:rPr>
          <w:sz w:val="20"/>
          <w:szCs w:val="20"/>
          <w:color w:val="auto"/>
        </w:rPr>
      </w:pPr>
    </w:p>
    <w:p>
      <w:pPr>
        <w:sectPr>
          <w:pgSz w:w="11900" w:h="16838" w:orient="portrait"/>
          <w:cols w:equalWidth="0" w:num="2">
            <w:col w:w="5024" w:space="720"/>
            <w:col w:w="5260"/>
          </w:cols>
          <w:pgMar w:left="436" w:top="270" w:right="459" w:bottom="1440" w:gutter="0" w:footer="0" w:header="0"/>
          <w:type w:val="continuous"/>
        </w:sectPr>
      </w:pPr>
    </w:p>
    <w:p>
      <w:pPr>
        <w:ind w:left="84"/>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5"/>
        <w:spacing w:after="0" w:line="259" w:lineRule="auto"/>
        <w:rPr>
          <w:sz w:val="20"/>
          <w:szCs w:val="20"/>
          <w:color w:val="auto"/>
        </w:rPr>
      </w:pPr>
      <w:r>
        <w:rPr>
          <w:rFonts w:ascii="Arial" w:cs="Arial" w:eastAsia="Arial" w:hAnsi="Arial"/>
          <w:sz w:val="18"/>
          <w:szCs w:val="18"/>
          <w:color w:val="auto"/>
        </w:rPr>
        <w:t>Issuance of ADSs (e.g., an issuance of ADS upon a deposit of Class A ordinary shares, upon a change in the ADS(s)-to-Shares ratio, or for any other reason), excluding ADS issuances as a result of distributions of Class A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issued</w:t>
      </w:r>
    </w:p>
    <w:p>
      <w:pPr>
        <w:spacing w:after="0" w:line="788" w:lineRule="exact"/>
        <w:rPr>
          <w:sz w:val="20"/>
          <w:szCs w:val="20"/>
          <w:color w:val="auto"/>
        </w:rPr>
      </w:pPr>
    </w:p>
    <w:p>
      <w:pPr>
        <w:sectPr>
          <w:pgSz w:w="11900" w:h="16838" w:orient="portrait"/>
          <w:cols w:equalWidth="0" w:num="3">
            <w:col w:w="144" w:space="220"/>
            <w:col w:w="5180" w:space="200"/>
            <w:col w:w="5260"/>
          </w:cols>
          <w:pgMar w:left="436" w:top="270" w:right="459" w:bottom="1440" w:gutter="0" w:footer="0" w:header="0"/>
          <w:type w:val="continuous"/>
        </w:sectPr>
      </w:pPr>
    </w:p>
    <w:p>
      <w:pPr>
        <w:ind w:left="84"/>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5"/>
        <w:spacing w:after="0" w:line="263" w:lineRule="auto"/>
        <w:rPr>
          <w:sz w:val="20"/>
          <w:szCs w:val="20"/>
          <w:color w:val="auto"/>
        </w:rPr>
      </w:pPr>
      <w:r>
        <w:rPr>
          <w:rFonts w:ascii="Arial" w:cs="Arial" w:eastAsia="Arial" w:hAnsi="Arial"/>
          <w:sz w:val="18"/>
          <w:szCs w:val="18"/>
          <w:color w:val="auto"/>
        </w:rPr>
        <w:t>Cancellation of ADSs (e.g., a cancellation of ADSs for delivery of deposited property, upon a change in the ADS(s)-to-Shares ratio, or for any other reason)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cancelled</w:t>
      </w:r>
    </w:p>
    <w:p>
      <w:pPr>
        <w:spacing w:after="0" w:line="572" w:lineRule="exact"/>
        <w:rPr>
          <w:sz w:val="20"/>
          <w:szCs w:val="20"/>
          <w:color w:val="auto"/>
        </w:rPr>
      </w:pPr>
    </w:p>
    <w:p>
      <w:pPr>
        <w:sectPr>
          <w:pgSz w:w="11900" w:h="16838" w:orient="portrait"/>
          <w:cols w:equalWidth="0" w:num="3">
            <w:col w:w="144" w:space="220"/>
            <w:col w:w="5120" w:space="260"/>
            <w:col w:w="5260"/>
          </w:cols>
          <w:pgMar w:left="436" w:top="270" w:right="459" w:bottom="1440" w:gutter="0" w:footer="0" w:header="0"/>
          <w:type w:val="continuous"/>
        </w:sectPr>
      </w:pPr>
    </w:p>
    <w:p>
      <w:pPr>
        <w:ind w:left="84"/>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5"/>
        <w:spacing w:after="0" w:line="277"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held</w:t>
      </w:r>
    </w:p>
    <w:p>
      <w:pPr>
        <w:spacing w:after="0" w:line="396" w:lineRule="exact"/>
        <w:rPr>
          <w:sz w:val="20"/>
          <w:szCs w:val="20"/>
          <w:color w:val="auto"/>
        </w:rPr>
      </w:pPr>
    </w:p>
    <w:p>
      <w:pPr>
        <w:sectPr>
          <w:pgSz w:w="11900" w:h="16838" w:orient="portrait"/>
          <w:cols w:equalWidth="0" w:num="3">
            <w:col w:w="144" w:space="220"/>
            <w:col w:w="5020" w:space="360"/>
            <w:col w:w="5260"/>
          </w:cols>
          <w:pgMar w:left="436" w:top="270" w:right="459" w:bottom="1440" w:gutter="0" w:footer="0" w:header="0"/>
          <w:type w:val="continuous"/>
        </w:sectPr>
      </w:pPr>
    </w:p>
    <w:p>
      <w:pPr>
        <w:jc w:val="center"/>
        <w:ind w:right="-23"/>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04"/>
          </w:cols>
          <w:pgMar w:left="436" w:top="270" w:right="459" w:bottom="1440" w:gutter="0" w:footer="0" w:header="0"/>
          <w:type w:val="continuous"/>
        </w:sectPr>
      </w:pPr>
    </w:p>
    <w:bookmarkStart w:id="207" w:name="page208"/>
    <w:bookmarkEnd w:id="207"/>
    <w:p>
      <w:pPr>
        <w:ind w:left="4"/>
        <w:spacing w:after="0"/>
        <w:rPr>
          <w:sz w:val="20"/>
          <w:szCs w:val="20"/>
          <w:color w:val="auto"/>
        </w:rPr>
      </w:pPr>
      <w:r>
        <w:rPr>
          <w:rFonts w:ascii="Arial" w:cs="Arial" w:eastAsia="Arial" w:hAnsi="Arial"/>
          <w:sz w:val="15"/>
          <w:szCs w:val="15"/>
          <w:b w:val="1"/>
          <w:bCs w:val="1"/>
          <w:i w:val="1"/>
          <w:iCs w:val="1"/>
          <w:color w:val="auto"/>
        </w:rPr>
        <w:t>Service</w:t>
      </w:r>
    </w:p>
    <w:p>
      <w:pPr>
        <w:spacing w:after="0" w:line="20" w:lineRule="exact"/>
        <w:rPr>
          <w:sz w:val="20"/>
          <w:szCs w:val="20"/>
          <w:color w:val="auto"/>
        </w:rPr>
      </w:pPr>
      <w:r>
        <w:rPr>
          <w:sz w:val="20"/>
          <w:szCs w:val="20"/>
          <w:color w:val="auto"/>
        </w:rPr>
        <w:br w:type="column"/>
      </w:r>
    </w:p>
    <w:p>
      <w:pPr>
        <w:jc w:val="center"/>
        <w:ind w:right="4880"/>
        <w:spacing w:after="0"/>
        <w:rPr>
          <w:sz w:val="20"/>
          <w:szCs w:val="20"/>
          <w:color w:val="auto"/>
        </w:rPr>
      </w:pPr>
      <w:r>
        <w:rPr>
          <w:rFonts w:ascii="Arial" w:cs="Arial" w:eastAsia="Arial" w:hAnsi="Arial"/>
          <w:sz w:val="13"/>
          <w:szCs w:val="13"/>
          <w:b w:val="1"/>
          <w:bCs w:val="1"/>
          <w:i w:val="1"/>
          <w:i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-179705</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5024" w:space="720"/>
            <w:col w:w="5220"/>
          </w:cols>
          <w:pgMar w:left="436" w:top="274" w:right="499" w:bottom="1440" w:gutter="0" w:footer="0" w:header="0"/>
        </w:sectPr>
      </w:pPr>
    </w:p>
    <w:p>
      <w:pPr>
        <w:ind w:left="84"/>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5"/>
        <w:spacing w:after="0" w:line="342" w:lineRule="auto"/>
        <w:rPr>
          <w:sz w:val="20"/>
          <w:szCs w:val="20"/>
          <w:color w:val="auto"/>
        </w:rPr>
      </w:pPr>
      <w:r>
        <w:rPr>
          <w:rFonts w:ascii="Arial" w:cs="Arial" w:eastAsia="Arial" w:hAnsi="Arial"/>
          <w:sz w:val="16"/>
          <w:szCs w:val="16"/>
          <w:color w:val="auto"/>
        </w:rPr>
        <w:t>Distribution of ADSs pursuant to (i) stock dividends or other free stock distributions, or (ii) exercise of rights to purchase additional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held</w:t>
      </w:r>
    </w:p>
    <w:p>
      <w:pPr>
        <w:spacing w:after="0" w:line="356" w:lineRule="exact"/>
        <w:rPr>
          <w:sz w:val="20"/>
          <w:szCs w:val="20"/>
          <w:color w:val="auto"/>
        </w:rPr>
      </w:pPr>
    </w:p>
    <w:p>
      <w:pPr>
        <w:sectPr>
          <w:pgSz w:w="11900" w:h="16838" w:orient="portrait"/>
          <w:cols w:equalWidth="0" w:num="3">
            <w:col w:w="144" w:space="220"/>
            <w:col w:w="5120" w:space="260"/>
            <w:col w:w="5220"/>
          </w:cols>
          <w:pgMar w:left="436" w:top="274" w:right="499" w:bottom="1440" w:gutter="0" w:footer="0" w:header="0"/>
          <w:type w:val="continuous"/>
        </w:sectPr>
      </w:pPr>
    </w:p>
    <w:p>
      <w:pPr>
        <w:ind w:left="84"/>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20" w:hanging="15"/>
        <w:spacing w:after="0" w:line="277" w:lineRule="auto"/>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held</w:t>
      </w:r>
    </w:p>
    <w:p>
      <w:pPr>
        <w:spacing w:after="0" w:line="355" w:lineRule="exact"/>
        <w:rPr>
          <w:sz w:val="20"/>
          <w:szCs w:val="20"/>
          <w:color w:val="auto"/>
        </w:rPr>
      </w:pPr>
    </w:p>
    <w:p>
      <w:pPr>
        <w:sectPr>
          <w:pgSz w:w="11900" w:h="16838" w:orient="portrait"/>
          <w:cols w:equalWidth="0" w:num="3">
            <w:col w:w="144" w:space="220"/>
            <w:col w:w="4660" w:space="720"/>
            <w:col w:w="5220"/>
          </w:cols>
          <w:pgMar w:left="436" w:top="274" w:right="499" w:bottom="1440" w:gutter="0" w:footer="0" w:header="0"/>
          <w:type w:val="continuous"/>
        </w:sectPr>
      </w:pPr>
    </w:p>
    <w:p>
      <w:pPr>
        <w:ind w:left="84"/>
        <w:spacing w:after="0"/>
        <w:tabs>
          <w:tab w:leader="none" w:pos="32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ADS Services</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Up to U.S. 5¢ per ADS held on the applicable record date(s) established by the depositary</w:t>
      </w:r>
    </w:p>
    <w:p>
      <w:pPr>
        <w:spacing w:after="0" w:line="62" w:lineRule="exact"/>
        <w:rPr>
          <w:sz w:val="20"/>
          <w:szCs w:val="20"/>
          <w:color w:val="auto"/>
        </w:rPr>
      </w:pPr>
    </w:p>
    <w:p>
      <w:pPr>
        <w:sectPr>
          <w:pgSz w:w="11900" w:h="16838" w:orient="portrait"/>
          <w:cols w:equalWidth="0" w:num="2">
            <w:col w:w="5024" w:space="720"/>
            <w:col w:w="5220"/>
          </w:cols>
          <w:pgMar w:left="436" w:top="274" w:right="499" w:bottom="1440" w:gutter="0" w:footer="0" w:header="0"/>
          <w:type w:val="continuous"/>
        </w:sectPr>
      </w:pPr>
    </w:p>
    <w:p>
      <w:pPr>
        <w:ind w:left="84"/>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5"/>
        <w:spacing w:after="0" w:line="263" w:lineRule="auto"/>
        <w:rPr>
          <w:sz w:val="20"/>
          <w:szCs w:val="20"/>
          <w:color w:val="auto"/>
        </w:rPr>
      </w:pPr>
      <w:r>
        <w:rPr>
          <w:rFonts w:ascii="Arial" w:cs="Arial" w:eastAsia="Arial" w:hAnsi="Arial"/>
          <w:sz w:val="18"/>
          <w:szCs w:val="18"/>
          <w:color w:val="auto"/>
        </w:rPr>
        <w:t xml:space="preserve">Registration of ADS transfers (e.g., upon a registration of the transfer of registered ownership of ADSs, upon a transfer of ADSs into DTC and </w:t>
      </w: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(or fraction thereof) transferred</w:t>
      </w:r>
    </w:p>
    <w:p>
      <w:pPr>
        <w:spacing w:after="0" w:line="572" w:lineRule="exact"/>
        <w:rPr>
          <w:sz w:val="20"/>
          <w:szCs w:val="20"/>
          <w:color w:val="auto"/>
        </w:rPr>
      </w:pPr>
    </w:p>
    <w:p>
      <w:pPr>
        <w:sectPr>
          <w:pgSz w:w="11900" w:h="16838" w:orient="portrait"/>
          <w:cols w:equalWidth="0" w:num="3">
            <w:col w:w="144" w:space="220"/>
            <w:col w:w="5180" w:space="200"/>
            <w:col w:w="5220"/>
          </w:cols>
          <w:pgMar w:left="436" w:top="274" w:right="499" w:bottom="1440" w:gutter="0" w:footer="0" w:header="0"/>
          <w:type w:val="continuous"/>
        </w:sectPr>
      </w:pPr>
    </w:p>
    <w:p>
      <w:pPr>
        <w:ind w:left="84"/>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5"/>
        <w:spacing w:after="0" w:line="301" w:lineRule="auto"/>
        <w:rPr>
          <w:sz w:val="20"/>
          <w:szCs w:val="20"/>
          <w:color w:val="auto"/>
        </w:rPr>
      </w:pPr>
      <w:r>
        <w:rPr>
          <w:rFonts w:ascii="Arial" w:cs="Arial" w:eastAsia="Arial" w:hAnsi="Arial"/>
          <w:sz w:val="16"/>
          <w:szCs w:val="16"/>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Arial" w:cs="Arial" w:eastAsia="Arial" w:hAnsi="Arial"/>
          <w:sz w:val="16"/>
          <w:szCs w:val="16"/>
          <w:i w:val="1"/>
          <w:iCs w:val="1"/>
          <w:color w:val="auto"/>
        </w:rPr>
        <w:t>vice versa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(or fraction thereof) converted</w:t>
      </w:r>
    </w:p>
    <w:p>
      <w:pPr>
        <w:spacing w:after="0" w:line="896" w:lineRule="exact"/>
        <w:rPr>
          <w:sz w:val="20"/>
          <w:szCs w:val="20"/>
          <w:color w:val="auto"/>
        </w:rPr>
      </w:pPr>
    </w:p>
    <w:p>
      <w:pPr>
        <w:sectPr>
          <w:pgSz w:w="11900" w:h="16838" w:orient="portrait"/>
          <w:cols w:equalWidth="0" w:num="3">
            <w:col w:w="144" w:space="220"/>
            <w:col w:w="5220" w:space="160"/>
            <w:col w:w="5220"/>
          </w:cols>
          <w:pgMar w:left="436" w:top="274" w:right="499" w:bottom="1440" w:gutter="0" w:footer="0" w:header="0"/>
          <w:type w:val="continuous"/>
        </w:sectPr>
      </w:pPr>
    </w:p>
    <w:p>
      <w:pPr>
        <w:ind w:left="444"/>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31" w:lineRule="exact"/>
        <w:rPr>
          <w:sz w:val="20"/>
          <w:szCs w:val="20"/>
          <w:color w:val="auto"/>
        </w:rPr>
      </w:pPr>
    </w:p>
    <w:p>
      <w:pPr>
        <w:ind w:left="964" w:hanging="424"/>
        <w:spacing w:after="0"/>
        <w:tabs>
          <w:tab w:leader="none" w:pos="9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ind w:left="964" w:hanging="424"/>
        <w:spacing w:after="0" w:line="263" w:lineRule="auto"/>
        <w:tabs>
          <w:tab w:leader="none" w:pos="9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964" w:hanging="424"/>
        <w:spacing w:after="0"/>
        <w:tabs>
          <w:tab w:leader="none" w:pos="9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30" w:lineRule="exact"/>
        <w:rPr>
          <w:rFonts w:ascii="Arial" w:cs="Arial" w:eastAsia="Arial" w:hAnsi="Arial"/>
          <w:sz w:val="18"/>
          <w:szCs w:val="18"/>
          <w:color w:val="auto"/>
        </w:rPr>
      </w:pPr>
    </w:p>
    <w:p>
      <w:pPr>
        <w:ind w:left="964" w:right="20" w:hanging="424"/>
        <w:spacing w:after="0" w:line="277" w:lineRule="auto"/>
        <w:tabs>
          <w:tab w:leader="none" w:pos="9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and/or service providers (which may be a division, branch or affiliate of the depositary) in the conversion of foreign currency;</w:t>
      </w:r>
    </w:p>
    <w:p>
      <w:pPr>
        <w:spacing w:after="0" w:line="75" w:lineRule="exact"/>
        <w:rPr>
          <w:rFonts w:ascii="Arial" w:cs="Arial" w:eastAsia="Arial" w:hAnsi="Arial"/>
          <w:sz w:val="18"/>
          <w:szCs w:val="18"/>
          <w:color w:val="auto"/>
        </w:rPr>
      </w:pPr>
    </w:p>
    <w:p>
      <w:pPr>
        <w:ind w:left="964" w:right="300" w:hanging="424"/>
        <w:spacing w:after="0" w:line="308" w:lineRule="auto"/>
        <w:tabs>
          <w:tab w:leader="none" w:pos="96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reasonable and customary out-of-pocket expenses incurred by the depositary in connection with compliance with exchange control regulations and other regulatory requirements applicable to Class A ordinary shares, ADSs and ADRs; and</w:t>
      </w:r>
    </w:p>
    <w:p>
      <w:pPr>
        <w:spacing w:after="0" w:line="51" w:lineRule="exact"/>
        <w:rPr>
          <w:rFonts w:ascii="Arial" w:cs="Arial" w:eastAsia="Arial" w:hAnsi="Arial"/>
          <w:sz w:val="17"/>
          <w:szCs w:val="17"/>
          <w:color w:val="auto"/>
        </w:rPr>
      </w:pPr>
    </w:p>
    <w:p>
      <w:pPr>
        <w:ind w:left="964" w:hanging="424"/>
        <w:spacing w:after="0"/>
        <w:tabs>
          <w:tab w:leader="none" w:pos="96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w:t>
      </w:r>
    </w:p>
    <w:p>
      <w:pPr>
        <w:spacing w:after="0" w:line="248"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3" w:lineRule="exact"/>
        <w:rPr>
          <w:sz w:val="20"/>
          <w:szCs w:val="20"/>
          <w:color w:val="auto"/>
        </w:rPr>
      </w:pPr>
    </w:p>
    <w:p>
      <w:pPr>
        <w:jc w:val="both"/>
        <w:ind w:left="4" w:right="100" w:hanging="4"/>
        <w:spacing w:after="0" w:line="255" w:lineRule="auto"/>
        <w:tabs>
          <w:tab w:leader="none" w:pos="21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4"/>
          </w:cols>
          <w:pgMar w:left="436" w:top="274" w:right="499" w:bottom="1440" w:gutter="0" w:footer="0" w:header="0"/>
          <w:type w:val="continuous"/>
        </w:sectPr>
      </w:pPr>
    </w:p>
    <w:bookmarkStart w:id="208" w:name="page209"/>
    <w:bookmarkEnd w:id="208"/>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92"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A ordinary shares represented by your ADSs (except as permitted by law).</w:t>
      </w:r>
    </w:p>
    <w:p>
      <w:pPr>
        <w:spacing w:after="0" w:line="184"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84"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57"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In connection with any termination of the deposit agreement, the depositary may make available to owners of ADSs a means to withdraw the Class A ordinary shares represented by ADSs and to direct the depositary of such Class A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depositary will maintain in New York facilities to record and process the issuance, cancellation, combination, split-up and transfer of ADSs.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facilities may be closed from time to time, to the extent not prohibited by law.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131" w:lineRule="exact"/>
        <w:rPr>
          <w:sz w:val="20"/>
          <w:szCs w:val="20"/>
          <w:color w:val="auto"/>
        </w:rPr>
      </w:pPr>
    </w:p>
    <w:p>
      <w:pPr>
        <w:ind w:left="5420" w:right="260" w:hanging="4884"/>
        <w:spacing w:after="0" w:line="449" w:lineRule="auto"/>
        <w:tabs>
          <w:tab w:leader="none" w:pos="97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We and the depositary are obligated only to take the actions specifically stated in the deposit agreement without negligence or bad faith. 15</w:t>
      </w:r>
    </w:p>
    <w:p>
      <w:pPr>
        <w:sectPr>
          <w:pgSz w:w="11900" w:h="16838" w:orient="portrait"/>
          <w:cols w:equalWidth="0" w:num="1">
            <w:col w:w="11000"/>
          </w:cols>
          <w:pgMar w:left="440" w:top="274" w:right="459" w:bottom="1440" w:gutter="0" w:footer="0" w:header="0"/>
        </w:sectPr>
      </w:pPr>
    </w:p>
    <w:bookmarkStart w:id="209" w:name="page210"/>
    <w:bookmarkEnd w:id="209"/>
    <w:p>
      <w:pPr>
        <w:ind w:left="960" w:right="20" w:hanging="424"/>
        <w:spacing w:after="0" w:line="277" w:lineRule="auto"/>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75" w:lineRule="exact"/>
        <w:rPr>
          <w:rFonts w:ascii="Arial" w:cs="Arial" w:eastAsia="Arial" w:hAnsi="Arial"/>
          <w:sz w:val="18"/>
          <w:szCs w:val="18"/>
          <w:color w:val="auto"/>
        </w:rPr>
      </w:pPr>
    </w:p>
    <w:p>
      <w:pPr>
        <w:ind w:left="960" w:hanging="424"/>
        <w:spacing w:after="0" w:line="257" w:lineRule="auto"/>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A ordinary shares, for the validity or worth of the Class A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93" w:lineRule="exact"/>
        <w:rPr>
          <w:rFonts w:ascii="Arial" w:cs="Arial" w:eastAsia="Arial" w:hAnsi="Arial"/>
          <w:sz w:val="18"/>
          <w:szCs w:val="18"/>
          <w:color w:val="auto"/>
        </w:rPr>
      </w:pPr>
    </w:p>
    <w:p>
      <w:pPr>
        <w:ind w:left="960" w:hanging="424"/>
        <w:spacing w:after="0"/>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30" w:lineRule="exact"/>
        <w:rPr>
          <w:rFonts w:ascii="Arial" w:cs="Arial" w:eastAsia="Arial" w:hAnsi="Arial"/>
          <w:sz w:val="18"/>
          <w:szCs w:val="18"/>
          <w:color w:val="auto"/>
        </w:rPr>
      </w:pPr>
    </w:p>
    <w:p>
      <w:pPr>
        <w:ind w:left="960" w:right="260" w:hanging="424"/>
        <w:spacing w:after="0" w:line="257" w:lineRule="auto"/>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93"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75" w:lineRule="exact"/>
        <w:rPr>
          <w:rFonts w:ascii="Arial" w:cs="Arial" w:eastAsia="Arial" w:hAnsi="Arial"/>
          <w:sz w:val="18"/>
          <w:szCs w:val="18"/>
          <w:color w:val="auto"/>
        </w:rPr>
      </w:pPr>
    </w:p>
    <w:p>
      <w:pPr>
        <w:ind w:left="960" w:right="160" w:hanging="424"/>
        <w:spacing w:after="0" w:line="286" w:lineRule="auto"/>
        <w:tabs>
          <w:tab w:leader="none" w:pos="9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70" w:lineRule="exact"/>
        <w:rPr>
          <w:rFonts w:ascii="Arial" w:cs="Arial" w:eastAsia="Arial" w:hAnsi="Arial"/>
          <w:sz w:val="17"/>
          <w:szCs w:val="17"/>
          <w:color w:val="auto"/>
        </w:rPr>
      </w:pPr>
    </w:p>
    <w:p>
      <w:pPr>
        <w:jc w:val="both"/>
        <w:ind w:left="960" w:right="280" w:hanging="424"/>
        <w:spacing w:after="0" w:line="342" w:lineRule="auto"/>
        <w:tabs>
          <w:tab w:leader="none" w:pos="9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We and the depositary also disclaim liability for the inability by a holder to benefit from any distribution, offering, right or other benefit that is made available to holders of Class A ordinary shares but is not, under the terms of the deposit agreement, made available to you.</w:t>
      </w:r>
    </w:p>
    <w:p>
      <w:pPr>
        <w:spacing w:after="0" w:line="29" w:lineRule="exact"/>
        <w:rPr>
          <w:rFonts w:ascii="Arial" w:cs="Arial" w:eastAsia="Arial" w:hAnsi="Arial"/>
          <w:sz w:val="16"/>
          <w:szCs w:val="16"/>
          <w:color w:val="auto"/>
        </w:rPr>
      </w:pPr>
    </w:p>
    <w:p>
      <w:pPr>
        <w:ind w:left="960" w:right="380" w:hanging="424"/>
        <w:spacing w:after="0" w:line="277" w:lineRule="auto"/>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960" w:right="740" w:hanging="424"/>
        <w:spacing w:after="0" w:line="277" w:lineRule="auto"/>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disclaimer of any Securities Act or Exchange Act liability is intended by any provision of the deposit agreement.</w:t>
      </w:r>
    </w:p>
    <w:p>
      <w:pPr>
        <w:spacing w:after="0" w:line="130" w:lineRule="exact"/>
        <w:rPr>
          <w:rFonts w:ascii="Arial" w:cs="Arial" w:eastAsia="Arial" w:hAnsi="Arial"/>
          <w:sz w:val="18"/>
          <w:szCs w:val="18"/>
          <w:color w:val="auto"/>
        </w:rPr>
      </w:pPr>
    </w:p>
    <w:p>
      <w:pPr>
        <w:ind w:left="960" w:right="740" w:hanging="424"/>
        <w:spacing w:after="0" w:line="277" w:lineRule="auto"/>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and you as ADS holder.</w:t>
      </w:r>
    </w:p>
    <w:p>
      <w:pPr>
        <w:spacing w:after="0" w:line="75" w:lineRule="exact"/>
        <w:rPr>
          <w:rFonts w:ascii="Arial" w:cs="Arial" w:eastAsia="Arial" w:hAnsi="Arial"/>
          <w:sz w:val="18"/>
          <w:szCs w:val="18"/>
          <w:color w:val="auto"/>
        </w:rPr>
      </w:pPr>
    </w:p>
    <w:p>
      <w:pPr>
        <w:ind w:left="960" w:right="220" w:hanging="424"/>
        <w:spacing w:after="0" w:line="259" w:lineRule="auto"/>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8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A ordinary shares from the ADS facility with respect to obligations or liabilities incurred under the deposit agreement before the cancellation of the ADSs and the withdrawal of the Class A ordinary shares, and such limitations would most likely not apply to ADS holders who withdraw the Class A ordinary shares from the ADS facility with respect to obligations or liabilities incurred after the cancellation of the ADSs and the withdrawal of the Class A ordinary shares and not under the deposit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10" w:name="page211"/>
    <w:bookmarkEnd w:id="210"/>
    <w:p>
      <w:pPr>
        <w:jc w:val="both"/>
        <w:ind w:right="220" w:firstLine="44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7"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Conversion</w:t>
      </w:r>
    </w:p>
    <w:p>
      <w:pPr>
        <w:spacing w:after="0" w:line="121"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6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76" w:lineRule="exact"/>
        <w:rPr>
          <w:sz w:val="20"/>
          <w:szCs w:val="20"/>
          <w:color w:val="auto"/>
        </w:rPr>
      </w:pPr>
    </w:p>
    <w:p>
      <w:pPr>
        <w:ind w:left="960" w:right="160" w:hanging="424"/>
        <w:spacing w:after="0" w:line="277" w:lineRule="auto"/>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4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AS A PARTY TO THE DEPOSIT AGREEMENT, YOU IRREVOCABLY WAIVE, TO THE FULLEST EXTENT PERMITTED BY APPLICABLE LAW, YOUR RIGHT TO TRIAL BY JURY IN ANY LEGAL PROCEEDING ARISING OUT OF THE DEPOSIT AGREEMENT OR THE ADRs AGAINST US AND/OR THE DEPOSITARY.</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i w:val="1"/>
          <w:iCs w:val="1"/>
          <w:color w:val="auto"/>
        </w:rPr>
        <w:t>The deposit agreement provides that, to the extent permitted by law, ADS holders waive the right to a jury trial of any claim they may have against us or the depositary arising out of or relating to our Class A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List of Principal Subsidiaries of the Registrant</w:t>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61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tcPr>
          <w:p>
            <w:pPr>
              <w:spacing w:after="0"/>
              <w:rPr>
                <w:sz w:val="20"/>
                <w:szCs w:val="20"/>
                <w:color w:val="auto"/>
              </w:rPr>
            </w:pPr>
            <w:r>
              <w:rPr>
                <w:rFonts w:ascii="Arial" w:cs="Arial" w:eastAsia="Arial" w:hAnsi="Arial"/>
                <w:sz w:val="14"/>
                <w:szCs w:val="14"/>
                <w:b w:val="1"/>
                <w:bCs w:val="1"/>
                <w:color w:val="auto"/>
                <w:w w:val="91"/>
              </w:rPr>
              <w:t>Place of Incorporation</w:t>
            </w:r>
          </w:p>
        </w:tc>
      </w:tr>
      <w:tr>
        <w:trPr>
          <w:trHeight w:val="195"/>
        </w:trPr>
        <w:tc>
          <w:tcPr>
            <w:tcW w:w="7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BR Hong</w:t>
            </w:r>
          </w:p>
        </w:tc>
        <w:tc>
          <w:tcPr>
            <w:tcW w:w="5340" w:type="dxa"/>
            <w:vAlign w:val="bottom"/>
            <w:gridSpan w:val="2"/>
          </w:tcPr>
          <w:p>
            <w:pPr>
              <w:spacing w:after="0" w:line="195" w:lineRule="exact"/>
              <w:rPr>
                <w:sz w:val="20"/>
                <w:szCs w:val="20"/>
                <w:color w:val="auto"/>
              </w:rPr>
            </w:pPr>
            <w:r>
              <w:rPr>
                <w:rFonts w:ascii="Arial" w:cs="Arial" w:eastAsia="Arial" w:hAnsi="Arial"/>
                <w:sz w:val="18"/>
                <w:szCs w:val="18"/>
                <w:color w:val="auto"/>
              </w:rPr>
              <w:t>Kong Limited</w:t>
            </w:r>
          </w:p>
        </w:tc>
        <w:tc>
          <w:tcPr>
            <w:tcW w:w="1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Hong Kong</w:t>
            </w:r>
          </w:p>
        </w:tc>
      </w:tr>
      <w:tr>
        <w:trPr>
          <w:trHeight w:val="216"/>
        </w:trPr>
        <w:tc>
          <w:tcPr>
            <w:tcW w:w="6100" w:type="dxa"/>
            <w:vAlign w:val="bottom"/>
            <w:gridSpan w:val="4"/>
          </w:tcPr>
          <w:p>
            <w:pPr>
              <w:spacing w:after="0"/>
              <w:rPr>
                <w:sz w:val="20"/>
                <w:szCs w:val="20"/>
                <w:color w:val="auto"/>
              </w:rPr>
            </w:pPr>
            <w:r>
              <w:rPr>
                <w:rFonts w:ascii="Arial" w:cs="Arial" w:eastAsia="Arial" w:hAnsi="Arial"/>
                <w:sz w:val="18"/>
                <w:szCs w:val="18"/>
                <w:color w:val="auto"/>
              </w:rPr>
              <w:t>Beijing Burning Rock Biotech Limited</w:t>
            </w:r>
          </w:p>
        </w:tc>
        <w:tc>
          <w:tcPr>
            <w:tcW w:w="138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6100" w:type="dxa"/>
            <w:vAlign w:val="bottom"/>
            <w:gridSpan w:val="4"/>
          </w:tcPr>
          <w:p>
            <w:pPr>
              <w:spacing w:after="0"/>
              <w:rPr>
                <w:sz w:val="20"/>
                <w:szCs w:val="20"/>
                <w:color w:val="auto"/>
              </w:rPr>
            </w:pPr>
            <w:r>
              <w:rPr>
                <w:rFonts w:ascii="Arial" w:cs="Arial" w:eastAsia="Arial" w:hAnsi="Arial"/>
                <w:sz w:val="18"/>
                <w:szCs w:val="18"/>
                <w:color w:val="auto"/>
              </w:rPr>
              <w:t>Burning Rock Biotechnology (Shanghai) Co., Ltd.</w:t>
            </w:r>
          </w:p>
        </w:tc>
        <w:tc>
          <w:tcPr>
            <w:tcW w:w="1380" w:type="dxa"/>
            <w:vAlign w:val="bottom"/>
          </w:tcPr>
          <w:p>
            <w:pPr>
              <w:spacing w:after="0"/>
              <w:rPr>
                <w:sz w:val="20"/>
                <w:szCs w:val="20"/>
                <w:color w:val="auto"/>
              </w:rPr>
            </w:pPr>
            <w:r>
              <w:rPr>
                <w:rFonts w:ascii="Arial" w:cs="Arial" w:eastAsia="Arial" w:hAnsi="Arial"/>
                <w:sz w:val="18"/>
                <w:szCs w:val="18"/>
                <w:color w:val="auto"/>
              </w:rPr>
              <w:t>China</w:t>
            </w:r>
          </w:p>
        </w:tc>
      </w:tr>
      <w:tr>
        <w:trPr>
          <w:trHeight w:val="364"/>
        </w:trPr>
        <w:tc>
          <w:tcPr>
            <w:tcW w:w="6100" w:type="dxa"/>
            <w:vAlign w:val="bottom"/>
            <w:gridSpan w:val="4"/>
          </w:tcPr>
          <w:p>
            <w:pPr>
              <w:spacing w:after="0"/>
              <w:rPr>
                <w:sz w:val="20"/>
                <w:szCs w:val="20"/>
                <w:color w:val="auto"/>
              </w:rPr>
            </w:pPr>
            <w:r>
              <w:rPr>
                <w:rFonts w:ascii="Arial" w:cs="Arial" w:eastAsia="Arial" w:hAnsi="Arial"/>
                <w:sz w:val="14"/>
                <w:szCs w:val="14"/>
                <w:b w:val="1"/>
                <w:bCs w:val="1"/>
                <w:color w:val="auto"/>
              </w:rPr>
              <w:t>VIE</w:t>
            </w:r>
          </w:p>
        </w:tc>
        <w:tc>
          <w:tcPr>
            <w:tcW w:w="1380" w:type="dxa"/>
            <w:vAlign w:val="bottom"/>
          </w:tcPr>
          <w:p>
            <w:pPr>
              <w:spacing w:after="0"/>
              <w:rPr>
                <w:sz w:val="20"/>
                <w:szCs w:val="20"/>
                <w:color w:val="auto"/>
              </w:rPr>
            </w:pPr>
            <w:r>
              <w:rPr>
                <w:rFonts w:ascii="Arial" w:cs="Arial" w:eastAsia="Arial" w:hAnsi="Arial"/>
                <w:sz w:val="14"/>
                <w:szCs w:val="14"/>
                <w:b w:val="1"/>
                <w:bCs w:val="1"/>
                <w:color w:val="auto"/>
                <w:w w:val="91"/>
              </w:rPr>
              <w:t>Place of Incorporation</w:t>
            </w:r>
          </w:p>
        </w:tc>
      </w:tr>
      <w:tr>
        <w:trPr>
          <w:trHeight w:val="20"/>
        </w:trPr>
        <w:tc>
          <w:tcPr>
            <w:tcW w:w="26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24"/>
        </w:trPr>
        <w:tc>
          <w:tcPr>
            <w:tcW w:w="6100" w:type="dxa"/>
            <w:vAlign w:val="bottom"/>
            <w:gridSpan w:val="4"/>
          </w:tcPr>
          <w:p>
            <w:pPr>
              <w:spacing w:after="0"/>
              <w:rPr>
                <w:sz w:val="20"/>
                <w:szCs w:val="20"/>
                <w:color w:val="auto"/>
              </w:rPr>
            </w:pPr>
            <w:r>
              <w:rPr>
                <w:rFonts w:ascii="Arial" w:cs="Arial" w:eastAsia="Arial" w:hAnsi="Arial"/>
                <w:sz w:val="18"/>
                <w:szCs w:val="18"/>
                <w:color w:val="auto"/>
              </w:rPr>
              <w:t>Burning Rock (Beijing) Biotechnology Co., Ltd.</w:t>
            </w:r>
          </w:p>
        </w:tc>
        <w:tc>
          <w:tcPr>
            <w:tcW w:w="1380" w:type="dxa"/>
            <w:vAlign w:val="bottom"/>
          </w:tcPr>
          <w:p>
            <w:pPr>
              <w:spacing w:after="0"/>
              <w:rPr>
                <w:sz w:val="20"/>
                <w:szCs w:val="20"/>
                <w:color w:val="auto"/>
              </w:rPr>
            </w:pPr>
            <w:r>
              <w:rPr>
                <w:rFonts w:ascii="Arial" w:cs="Arial" w:eastAsia="Arial" w:hAnsi="Arial"/>
                <w:sz w:val="18"/>
                <w:szCs w:val="18"/>
                <w:color w:val="auto"/>
              </w:rPr>
              <w:t>China</w:t>
            </w:r>
          </w:p>
        </w:tc>
      </w:tr>
      <w:tr>
        <w:trPr>
          <w:trHeight w:val="350"/>
        </w:trPr>
        <w:tc>
          <w:tcPr>
            <w:tcW w:w="6100" w:type="dxa"/>
            <w:vAlign w:val="bottom"/>
            <w:gridSpan w:val="4"/>
          </w:tcPr>
          <w:p>
            <w:pPr>
              <w:spacing w:after="0"/>
              <w:rPr>
                <w:sz w:val="20"/>
                <w:szCs w:val="20"/>
                <w:color w:val="auto"/>
              </w:rPr>
            </w:pPr>
            <w:r>
              <w:rPr>
                <w:rFonts w:ascii="Arial" w:cs="Arial" w:eastAsia="Arial" w:hAnsi="Arial"/>
                <w:sz w:val="14"/>
                <w:szCs w:val="14"/>
                <w:b w:val="1"/>
                <w:bCs w:val="1"/>
                <w:color w:val="auto"/>
              </w:rPr>
              <w:t>Subsidiaries of the VIE</w:t>
            </w:r>
          </w:p>
        </w:tc>
        <w:tc>
          <w:tcPr>
            <w:tcW w:w="1380" w:type="dxa"/>
            <w:vAlign w:val="bottom"/>
          </w:tcPr>
          <w:p>
            <w:pPr>
              <w:spacing w:after="0"/>
              <w:rPr>
                <w:sz w:val="20"/>
                <w:szCs w:val="20"/>
                <w:color w:val="auto"/>
              </w:rPr>
            </w:pPr>
            <w:r>
              <w:rPr>
                <w:rFonts w:ascii="Arial" w:cs="Arial" w:eastAsia="Arial" w:hAnsi="Arial"/>
                <w:sz w:val="14"/>
                <w:szCs w:val="14"/>
                <w:b w:val="1"/>
                <w:bCs w:val="1"/>
                <w:color w:val="auto"/>
                <w:w w:val="91"/>
              </w:rPr>
              <w:t>Place of Incorporation</w:t>
            </w:r>
          </w:p>
        </w:tc>
      </w:tr>
      <w:tr>
        <w:trPr>
          <w:trHeight w:val="195"/>
        </w:trPr>
        <w:tc>
          <w:tcPr>
            <w:tcW w:w="14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88"/>
              </w:rPr>
              <w:t>Guangzhou Burning</w:t>
            </w:r>
          </w:p>
        </w:tc>
        <w:tc>
          <w:tcPr>
            <w:tcW w:w="4660" w:type="dxa"/>
            <w:vAlign w:val="bottom"/>
          </w:tcPr>
          <w:p>
            <w:pPr>
              <w:ind w:left="80"/>
              <w:spacing w:after="0" w:line="195" w:lineRule="exact"/>
              <w:rPr>
                <w:sz w:val="20"/>
                <w:szCs w:val="20"/>
                <w:color w:val="auto"/>
              </w:rPr>
            </w:pPr>
            <w:r>
              <w:rPr>
                <w:rFonts w:ascii="Arial" w:cs="Arial" w:eastAsia="Arial" w:hAnsi="Arial"/>
                <w:sz w:val="18"/>
                <w:szCs w:val="18"/>
                <w:color w:val="auto"/>
              </w:rPr>
              <w:t>Rock Biotechnology Co., Ltd.</w:t>
            </w:r>
          </w:p>
        </w:tc>
        <w:tc>
          <w:tcPr>
            <w:tcW w:w="1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r>
      <w:tr>
        <w:trPr>
          <w:trHeight w:val="216"/>
        </w:trPr>
        <w:tc>
          <w:tcPr>
            <w:tcW w:w="6100" w:type="dxa"/>
            <w:vAlign w:val="bottom"/>
            <w:gridSpan w:val="4"/>
          </w:tcPr>
          <w:p>
            <w:pPr>
              <w:spacing w:after="0"/>
              <w:rPr>
                <w:sz w:val="20"/>
                <w:szCs w:val="20"/>
                <w:color w:val="auto"/>
              </w:rPr>
            </w:pPr>
            <w:r>
              <w:rPr>
                <w:rFonts w:ascii="Arial" w:cs="Arial" w:eastAsia="Arial" w:hAnsi="Arial"/>
                <w:sz w:val="18"/>
                <w:szCs w:val="18"/>
                <w:color w:val="auto"/>
              </w:rPr>
              <w:t>Guangzhou Burning Rock Medical Equipment Co., Ltd.</w:t>
            </w:r>
          </w:p>
        </w:tc>
        <w:tc>
          <w:tcPr>
            <w:tcW w:w="138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6100" w:type="dxa"/>
            <w:vAlign w:val="bottom"/>
            <w:gridSpan w:val="4"/>
          </w:tcPr>
          <w:p>
            <w:pPr>
              <w:spacing w:after="0"/>
              <w:rPr>
                <w:sz w:val="20"/>
                <w:szCs w:val="20"/>
                <w:color w:val="auto"/>
              </w:rPr>
            </w:pPr>
            <w:r>
              <w:rPr>
                <w:rFonts w:ascii="Arial" w:cs="Arial" w:eastAsia="Arial" w:hAnsi="Arial"/>
                <w:sz w:val="18"/>
                <w:szCs w:val="18"/>
                <w:color w:val="auto"/>
              </w:rPr>
              <w:t>Guangzhou Burning Rock Dx Co., Ltd.</w:t>
            </w:r>
          </w:p>
        </w:tc>
        <w:tc>
          <w:tcPr>
            <w:tcW w:w="1380" w:type="dxa"/>
            <w:vAlign w:val="bottom"/>
          </w:tcPr>
          <w:p>
            <w:pPr>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0020"/>
          </w:cols>
          <w:pgMar w:left="1440" w:top="121" w:right="4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Yusheng Han, certify that:</w:t>
      </w:r>
    </w:p>
    <w:p>
      <w:pPr>
        <w:spacing w:after="0" w:line="131" w:lineRule="exact"/>
        <w:rPr>
          <w:sz w:val="20"/>
          <w:szCs w:val="20"/>
          <w:color w:val="auto"/>
        </w:rPr>
      </w:pPr>
    </w:p>
    <w:p>
      <w:pPr>
        <w:ind w:left="960" w:hanging="532"/>
        <w:spacing w:after="0"/>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Burning Rock Biotech Limited;</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60" w:hanging="532"/>
        <w:spacing w:after="0" w:line="342" w:lineRule="auto"/>
        <w:tabs>
          <w:tab w:leader="none" w:pos="9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9" w:lineRule="exact"/>
        <w:rPr>
          <w:rFonts w:ascii="Arial" w:cs="Arial" w:eastAsia="Arial" w:hAnsi="Arial"/>
          <w:sz w:val="16"/>
          <w:szCs w:val="16"/>
          <w:color w:val="auto"/>
        </w:rPr>
      </w:pPr>
    </w:p>
    <w:p>
      <w:pPr>
        <w:ind w:left="960" w:right="560" w:hanging="532"/>
        <w:spacing w:after="0" w:line="277" w:lineRule="auto"/>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75" w:lineRule="exact"/>
        <w:rPr>
          <w:rFonts w:ascii="Arial" w:cs="Arial" w:eastAsia="Arial" w:hAnsi="Arial"/>
          <w:sz w:val="18"/>
          <w:szCs w:val="18"/>
          <w:color w:val="auto"/>
        </w:rPr>
      </w:pPr>
    </w:p>
    <w:p>
      <w:pPr>
        <w:ind w:left="1420" w:right="40" w:hanging="439"/>
        <w:spacing w:after="0" w:line="286" w:lineRule="auto"/>
        <w:tabs>
          <w:tab w:leader="none" w:pos="142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ind w:left="1420" w:right="200" w:hanging="439"/>
        <w:spacing w:after="0" w:line="263" w:lineRule="auto"/>
        <w:tabs>
          <w:tab w:leader="none" w:pos="14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0" w:hanging="439"/>
        <w:spacing w:after="0" w:line="263" w:lineRule="auto"/>
        <w:tabs>
          <w:tab w:leader="none" w:pos="14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960" w:right="300" w:hanging="532"/>
        <w:spacing w:after="0" w:line="263" w:lineRule="auto"/>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9" w:lineRule="exact"/>
        <w:rPr>
          <w:rFonts w:ascii="Arial" w:cs="Arial" w:eastAsia="Arial" w:hAnsi="Arial"/>
          <w:sz w:val="18"/>
          <w:szCs w:val="18"/>
          <w:color w:val="auto"/>
        </w:rPr>
      </w:pPr>
    </w:p>
    <w:p>
      <w:pPr>
        <w:ind w:left="1420" w:right="120" w:hanging="439"/>
        <w:spacing w:after="0" w:line="342" w:lineRule="auto"/>
        <w:tabs>
          <w:tab w:leader="none" w:pos="14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1420" w:right="420" w:hanging="439"/>
        <w:spacing w:after="0" w:line="277" w:lineRule="auto"/>
        <w:tabs>
          <w:tab w:leader="none" w:pos="14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Yusheng Han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Yusheng Han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Chairman of the Board of Directors and Chief</w:t>
            </w:r>
          </w:p>
        </w:tc>
      </w:tr>
      <w:tr>
        <w:trPr>
          <w:trHeight w:val="230"/>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Executive Officer (principal executive officer)</w:t>
            </w:r>
          </w:p>
        </w:tc>
      </w:tr>
    </w:tbl>
    <w:p>
      <w:pPr>
        <w:sectPr>
          <w:pgSz w:w="11900" w:h="16838" w:orient="portrait"/>
          <w:cols w:equalWidth="0" w:num="1">
            <w:col w:w="11020"/>
          </w:cols>
          <w:pgMar w:left="440" w:top="121" w:right="4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Leo Li, certify that:</w:t>
      </w:r>
    </w:p>
    <w:p>
      <w:pPr>
        <w:spacing w:after="0" w:line="131" w:lineRule="exact"/>
        <w:rPr>
          <w:sz w:val="20"/>
          <w:szCs w:val="20"/>
          <w:color w:val="auto"/>
        </w:rPr>
      </w:pPr>
    </w:p>
    <w:p>
      <w:pPr>
        <w:ind w:left="960" w:hanging="532"/>
        <w:spacing w:after="0"/>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Burning Rock Biotech Limited;</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60" w:hanging="532"/>
        <w:spacing w:after="0" w:line="342" w:lineRule="auto"/>
        <w:tabs>
          <w:tab w:leader="none" w:pos="9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9" w:lineRule="exact"/>
        <w:rPr>
          <w:rFonts w:ascii="Arial" w:cs="Arial" w:eastAsia="Arial" w:hAnsi="Arial"/>
          <w:sz w:val="16"/>
          <w:szCs w:val="16"/>
          <w:color w:val="auto"/>
        </w:rPr>
      </w:pPr>
    </w:p>
    <w:p>
      <w:pPr>
        <w:ind w:left="960" w:right="560" w:hanging="532"/>
        <w:spacing w:after="0" w:line="277" w:lineRule="auto"/>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75" w:lineRule="exact"/>
        <w:rPr>
          <w:rFonts w:ascii="Arial" w:cs="Arial" w:eastAsia="Arial" w:hAnsi="Arial"/>
          <w:sz w:val="18"/>
          <w:szCs w:val="18"/>
          <w:color w:val="auto"/>
        </w:rPr>
      </w:pPr>
    </w:p>
    <w:p>
      <w:pPr>
        <w:ind w:left="1420" w:right="40" w:hanging="439"/>
        <w:spacing w:after="0" w:line="286" w:lineRule="auto"/>
        <w:tabs>
          <w:tab w:leader="none" w:pos="142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ind w:left="1420" w:right="200" w:hanging="439"/>
        <w:spacing w:after="0" w:line="263" w:lineRule="auto"/>
        <w:tabs>
          <w:tab w:leader="none" w:pos="1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0" w:hanging="439"/>
        <w:spacing w:after="0" w:line="263" w:lineRule="auto"/>
        <w:tabs>
          <w:tab w:leader="none" w:pos="1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960" w:right="300" w:hanging="532"/>
        <w:spacing w:after="0" w:line="263" w:lineRule="auto"/>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9" w:lineRule="exact"/>
        <w:rPr>
          <w:rFonts w:ascii="Arial" w:cs="Arial" w:eastAsia="Arial" w:hAnsi="Arial"/>
          <w:sz w:val="18"/>
          <w:szCs w:val="18"/>
          <w:color w:val="auto"/>
        </w:rPr>
      </w:pPr>
    </w:p>
    <w:p>
      <w:pPr>
        <w:ind w:left="1420" w:right="120" w:hanging="439"/>
        <w:spacing w:after="0" w:line="342" w:lineRule="auto"/>
        <w:tabs>
          <w:tab w:leader="none" w:pos="14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1420" w:right="420" w:hanging="439"/>
        <w:spacing w:after="0" w:line="277" w:lineRule="auto"/>
        <w:tabs>
          <w:tab w:leader="none" w:pos="1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 Li</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Leo Li</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w w:val="97"/>
              </w:rPr>
              <w:t>Chief Financial Officer (principal financial officer)</w:t>
            </w:r>
          </w:p>
        </w:tc>
      </w:tr>
    </w:tbl>
    <w:p>
      <w:pPr>
        <w:sectPr>
          <w:pgSz w:w="11900" w:h="16838" w:orient="portrait"/>
          <w:cols w:equalWidth="0" w:num="1">
            <w:col w:w="11020"/>
          </w:cols>
          <w:pgMar w:left="440" w:top="121" w:right="4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Annual Report of Burning Rock Biotech Limited (the “Company”) on Form 20-F for the fiscal year ended December 31,</w:t>
      </w:r>
    </w:p>
    <w:p>
      <w:pPr>
        <w:spacing w:after="0" w:line="46"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2020 as filed with the Securities and Exchange Commission on the date hereof (the “Report”), I, Yusheng Han, Chairman of the Board of Directors and Chief Executive Officer of the Company, hereby certify, pursuant to 18 U.S.C.§ 1350, as adopted pursuant to Section 906 of the Sarbanes-Oxley Act of 2002, that to the best of my knowledge:</w:t>
      </w:r>
    </w:p>
    <w:p>
      <w:pPr>
        <w:spacing w:after="0" w:line="95" w:lineRule="exact"/>
        <w:rPr>
          <w:sz w:val="20"/>
          <w:szCs w:val="20"/>
          <w:color w:val="auto"/>
        </w:rPr>
      </w:pPr>
    </w:p>
    <w:p>
      <w:pPr>
        <w:ind w:left="960" w:hanging="532"/>
        <w:spacing w:after="0"/>
        <w:tabs>
          <w:tab w:leader="none" w:pos="9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Yusheng Han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Yusheng Han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Chairman of the Board of Directors and</w:t>
            </w:r>
          </w:p>
        </w:tc>
      </w:tr>
      <w:tr>
        <w:trPr>
          <w:trHeight w:val="216"/>
        </w:trPr>
        <w:tc>
          <w:tcPr>
            <w:tcW w:w="6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Chief Executive Officer (principal executive</w:t>
            </w:r>
          </w:p>
        </w:tc>
      </w:tr>
      <w:tr>
        <w:trPr>
          <w:trHeight w:val="230"/>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020"/>
          </w:cols>
          <w:pgMar w:left="440" w:top="121" w:right="4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In connection with the Annual Report of Burning Rock Biotech Limited (the “Company”) on Form 20-F for the fiscal year ended December 31, 2020 as filed with the Securities and Exchange Commission on the date hereof (the “Report”), I, Leo Li, Chief Financial Officer of the Company, hereby certify, pursuant to 18 U.S.C.§ 1350, as adopted pursuant to Section 906 of the Sarbanes-Oxley Act of 2002, that to the best of my knowledge:</w:t>
      </w:r>
    </w:p>
    <w:p>
      <w:pPr>
        <w:spacing w:after="0" w:line="54" w:lineRule="exact"/>
        <w:rPr>
          <w:sz w:val="20"/>
          <w:szCs w:val="20"/>
          <w:color w:val="auto"/>
        </w:rPr>
      </w:pPr>
    </w:p>
    <w:p>
      <w:pPr>
        <w:ind w:left="960" w:hanging="532"/>
        <w:spacing w:after="0"/>
        <w:tabs>
          <w:tab w:leader="none" w:pos="9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 Li</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Leo Li</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w w:val="97"/>
              </w:rPr>
              <w:t>Chief Financial Officer (principal financial officer)</w:t>
            </w:r>
          </w:p>
        </w:tc>
      </w:tr>
    </w:tbl>
    <w:p>
      <w:pPr>
        <w:sectPr>
          <w:pgSz w:w="11900" w:h="16838" w:orient="portrait"/>
          <w:cols w:equalWidth="0" w:num="1">
            <w:col w:w="11020"/>
          </w:cols>
          <w:pgMar w:left="440" w:top="121" w:right="4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(Form S-8 No. 333-251191) pertaining to the Pre-IPO Share Incentive Plan, 2020 Equity Incentive Plan, Management Share Incentive Plan, Employee Share Incentive Plan No.1 and Employee Share Incentive Plan No. 2 of Burning Rock Biotech Limited of our report dated March 23, 2021, with respect to the consolidated financial statements of Burning Rock Biotech Limited included in this Annual Report (Form 20-F)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Guangzhou, the People’s Republic of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ectPr>
          <w:pgSz w:w="11900" w:h="16838" w:orient="portrait"/>
          <w:cols w:equalWidth="0" w:num="1">
            <w:col w:w="11020"/>
          </w:cols>
          <w:pgMar w:left="440" w:top="121" w:right="4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445770</wp:posOffset>
            </wp:positionV>
            <wp:extent cx="6995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171450</wp:posOffset>
            </wp:positionV>
            <wp:extent cx="720090" cy="2400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720090" cy="24003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634365</wp:posOffset>
            </wp:positionV>
            <wp:extent cx="3771900" cy="925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6">
                      <a:extLst>
                        <a:ext uri="{28A0092B-C50C-407E-A947-70E740481C1C}"/>
                      </a:extLst>
                    </a:blip>
                    <a:srcRect/>
                    <a:stretch>
                      <a:fillRect/>
                    </a:stretch>
                  </pic:blipFill>
                  <pic:spPr bwMode="auto">
                    <a:xfrm>
                      <a:off x="0" y="0"/>
                      <a:ext cx="377190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6"/>
          <w:szCs w:val="16"/>
          <w:b w:val="1"/>
          <w:bCs w:val="1"/>
          <w:color w:val="auto"/>
        </w:rPr>
        <w:t>Burning Rock Biotech Limited (the “Company”)</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601, 6/F, Building 3, Standard Industrial Unit 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7, Luoxuan 4th Road, International Bio Island, Guangzhou, 510005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We hereby consent to the reference of our name under the headings “Item 3. Key Information—D. Risk Factors—Risks Relating to Our Corporate Structure”, “Item 3. Key Information—D. Risk Factors—Risks Relating to Government Regulations” and “Item 4. Information on the Company—C. Organizational Structure” in the Company’s annual report on Form 20-F for the year ended December 31, 2020 (the “Annual Report”), which will be filed with the Securities and Exchange Commission (the “SEC”) in the month of March. We also consent to the filing of this consent letter with the SEC as an exhibit to the Annual Report.</w:t>
      </w:r>
    </w:p>
    <w:p>
      <w:pPr>
        <w:spacing w:after="0" w:line="188"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SHIHUI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SHIHUI PARTENRS</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1)"/>
      <w:numFmt w:val="decimal"/>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1)"/>
      <w:numFmt w:val="decimal"/>
      <w:start w:val="1"/>
    </w:lvl>
  </w:abstractNum>
  <w:abstractNum w:abstractNumId="21">
    <w:nsid w:val="4A2AC315"/>
    <w:multiLevelType w:val="hybridMultilevel"/>
    <w:lvl w:ilvl="0">
      <w:lvlJc w:val="left"/>
      <w:lvlText w:val="(%1)"/>
      <w:numFmt w:val="decimal"/>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1)"/>
      <w:numFmt w:val="decimal"/>
      <w:start w:val="1"/>
    </w:lvl>
  </w:abstractNum>
  <w:abstractNum w:abstractNumId="25">
    <w:nsid w:val="43F18422"/>
    <w:multiLevelType w:val="hybridMultilevel"/>
    <w:lvl w:ilvl="0">
      <w:lvlJc w:val="left"/>
      <w:lvlText w:val="(%1)"/>
      <w:numFmt w:val="decimal"/>
      <w:start w:val="1"/>
    </w:lvl>
  </w:abstractNum>
  <w:abstractNum w:abstractNumId="26">
    <w:nsid w:val="60EF0119"/>
    <w:multiLevelType w:val="hybridMultilevel"/>
    <w:lvl w:ilvl="0">
      <w:lvlJc w:val="left"/>
      <w:lvlText w:val="(%1)"/>
      <w:numFmt w:val="decimal"/>
      <w:start w:val="1"/>
    </w:lvl>
  </w:abstractNum>
  <w:abstractNum w:abstractNumId="27">
    <w:nsid w:val="26F324BA"/>
    <w:multiLevelType w:val="hybridMultilevel"/>
    <w:lvl w:ilvl="0">
      <w:lvlJc w:val="left"/>
      <w:lvlText w:val="(%1)"/>
      <w:numFmt w:val="decimal"/>
      <w:start w:val="1"/>
    </w:lvl>
  </w:abstractNum>
  <w:abstractNum w:abstractNumId="28">
    <w:nsid w:val="7F01579B"/>
    <w:multiLevelType w:val="hybridMultilevel"/>
    <w:lvl w:ilvl="0">
      <w:lvlJc w:val="left"/>
      <w:lvlText w:val="(%1)"/>
      <w:numFmt w:val="decimal"/>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1."/>
      <w:numFmt w:val="upperLetter"/>
      <w:start w:val="3"/>
    </w:lvl>
  </w:abstractNum>
  <w:abstractNum w:abstractNumId="32">
    <w:nsid w:val="50801EE1"/>
    <w:multiLevelType w:val="hybridMultilevel"/>
    <w:lvl w:ilvl="0">
      <w:lvlJc w:val="left"/>
      <w:lvlText w:val="(%1)"/>
      <w:numFmt w:val="decimal"/>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1."/>
      <w:numFmt w:val="decimal"/>
      <w:start w:val="3"/>
    </w:lvl>
  </w:abstractNum>
  <w:abstractNum w:abstractNumId="35">
    <w:nsid w:val="6AA78F7F"/>
    <w:multiLevelType w:val="hybridMultilevel"/>
    <w:lvl w:ilvl="0">
      <w:lvlJc w:val="left"/>
      <w:lvlText w:val="%1."/>
      <w:numFmt w:val="upperLetter"/>
      <w:start w:val="4"/>
    </w:lvl>
  </w:abstractNum>
  <w:abstractNum w:abstractNumId="36">
    <w:nsid w:val="7672BD23"/>
    <w:multiLevelType w:val="hybridMultilevel"/>
    <w:lvl w:ilvl="0">
      <w:lvlJc w:val="left"/>
      <w:lvlText w:val="%1."/>
      <w:numFmt w:val="upperLetter"/>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1)"/>
      <w:numFmt w:val="lowerRoman"/>
      <w:start w:val="1"/>
    </w:lvl>
  </w:abstractNum>
  <w:abstractNum w:abstractNumId="39">
    <w:nsid w:val="7D5E18F8"/>
    <w:multiLevelType w:val="hybridMultilevel"/>
    <w:lvl w:ilvl="0">
      <w:lvlJc w:val="left"/>
      <w:lvlText w:val="(%1)"/>
      <w:numFmt w:val="decimal"/>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1)"/>
      <w:numFmt w:val="decimal"/>
      <w:start w:val="3"/>
    </w:lvl>
  </w:abstractNum>
  <w:abstractNum w:abstractNumId="42">
    <w:nsid w:val="7DE67713"/>
    <w:multiLevelType w:val="hybridMultilevel"/>
    <w:lvl w:ilvl="0">
      <w:lvlJc w:val="left"/>
      <w:lvlText w:val="(%1)"/>
      <w:numFmt w:val="decimal"/>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1)"/>
      <w:numFmt w:val="lowerRoman"/>
      <w:start w:val="1"/>
    </w:lvl>
  </w:abstractNum>
  <w:abstractNum w:abstractNumId="47">
    <w:nsid w:val="71C91298"/>
    <w:multiLevelType w:val="hybridMultilevel"/>
    <w:lvl w:ilvl="0">
      <w:lvlJc w:val="left"/>
      <w:lvlText w:val="%1."/>
      <w:numFmt w:val="upperLetter"/>
      <w:start w:val="2"/>
    </w:lvl>
  </w:abstractNum>
  <w:abstractNum w:abstractNumId="48">
    <w:nsid w:val="9DAF632"/>
    <w:multiLevelType w:val="hybridMultilevel"/>
    <w:lvl w:ilvl="0">
      <w:lvlJc w:val="left"/>
      <w:lvlText w:val="%1."/>
      <w:numFmt w:val="upperLetter"/>
      <w:start w:val="3"/>
    </w:lvl>
  </w:abstractNum>
  <w:abstractNum w:abstractNumId="49">
    <w:nsid w:val="53299938"/>
    <w:multiLevelType w:val="hybridMultilevel"/>
    <w:lvl w:ilvl="0">
      <w:lvlJc w:val="left"/>
      <w:lvlText w:val="%1."/>
      <w:numFmt w:val="upperLetter"/>
      <w:start w:val="4"/>
    </w:lvl>
  </w:abstractNum>
  <w:abstractNum w:abstractNumId="50">
    <w:nsid w:val="1FBFE8E0"/>
    <w:multiLevelType w:val="hybridMultilevel"/>
    <w:lvl w:ilvl="0">
      <w:lvlJc w:val="left"/>
      <w:lvlText w:val="%1."/>
      <w:numFmt w:val="upperLetter"/>
      <w:start w:val="5"/>
    </w:lvl>
  </w:abstractNum>
  <w:abstractNum w:abstractNumId="51">
    <w:nsid w:val="5092CA79"/>
    <w:multiLevelType w:val="hybridMultilevel"/>
    <w:lvl w:ilvl="0">
      <w:lvlJc w:val="left"/>
      <w:lvlText w:val="%1."/>
      <w:numFmt w:val="upperLetter"/>
      <w:start w:val="6"/>
    </w:lvl>
  </w:abstractNum>
  <w:abstractNum w:abstractNumId="52">
    <w:nsid w:val="1D545C4D"/>
    <w:multiLevelType w:val="hybridMultilevel"/>
    <w:lvl w:ilvl="0">
      <w:lvlJc w:val="left"/>
      <w:lvlText w:val="(%1)"/>
      <w:numFmt w:val="decimal"/>
      <w:start w:val="1"/>
    </w:lvl>
  </w:abstractNum>
  <w:abstractNum w:abstractNumId="53">
    <w:nsid w:val="59ADEA3D"/>
    <w:multiLevelType w:val="hybridMultilevel"/>
    <w:lvl w:ilvl="0">
      <w:lvlJc w:val="left"/>
      <w:lvlText w:val="%1."/>
      <w:numFmt w:val="upperLetter"/>
      <w:start w:val="7"/>
    </w:lvl>
  </w:abstractNum>
  <w:abstractNum w:abstractNumId="54">
    <w:nsid w:val="288F1A34"/>
    <w:multiLevelType w:val="hybridMultilevel"/>
    <w:lvl w:ilvl="0">
      <w:lvlJc w:val="left"/>
      <w:lvlText w:val="%1."/>
      <w:numFmt w:val="upperLetter"/>
      <w:start w:val="1"/>
    </w:lvl>
  </w:abstractNum>
  <w:abstractNum w:abstractNumId="55">
    <w:nsid w:val="2A155DBC"/>
    <w:multiLevelType w:val="hybridMultilevel"/>
    <w:lvl w:ilvl="0">
      <w:lvlJc w:val="left"/>
      <w:lvlText w:val="%1."/>
      <w:numFmt w:val="upperLetter"/>
      <w:start w:val="2"/>
    </w:lvl>
  </w:abstractNum>
  <w:abstractNum w:abstractNumId="56">
    <w:nsid w:val="1D9F6E5F"/>
    <w:multiLevelType w:val="hybridMultilevel"/>
    <w:lvl w:ilvl="0">
      <w:lvlJc w:val="left"/>
      <w:lvlText w:val="%1."/>
      <w:numFmt w:val="upperLetter"/>
      <w:start w:val="3"/>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
      <w:numFmt w:val="bullet"/>
      <w:start w:val="1"/>
    </w:lvl>
  </w:abstractNum>
  <w:abstractNum w:abstractNumId="60">
    <w:nsid w:val="53584BCB"/>
    <w:multiLevelType w:val="hybridMultilevel"/>
    <w:lvl w:ilvl="0">
      <w:lvlJc w:val="left"/>
      <w:lvlText w:val="•"/>
      <w:numFmt w:val="bullet"/>
      <w:start w:val="1"/>
    </w:lvl>
  </w:abstractNum>
  <w:abstractNum w:abstractNumId="61">
    <w:nsid w:val="415E286C"/>
    <w:multiLevelType w:val="hybridMultilevel"/>
    <w:lvl w:ilvl="0">
      <w:lvlJc w:val="left"/>
      <w:lvlText w:val="(%1)"/>
      <w:numFmt w:val="lowerRoman"/>
      <w:start w:val="1"/>
    </w:lvl>
  </w:abstractNum>
  <w:abstractNum w:abstractNumId="62">
    <w:nsid w:val="7C58FD05"/>
    <w:multiLevelType w:val="hybridMultilevel"/>
    <w:lvl w:ilvl="0">
      <w:lvlJc w:val="left"/>
      <w:lvlText w:val="%1."/>
      <w:numFmt w:val="upperLetter"/>
      <w:start w:val="4"/>
    </w:lvl>
  </w:abstractNum>
  <w:abstractNum w:abstractNumId="63">
    <w:nsid w:val="23D86AAC"/>
    <w:multiLevelType w:val="hybridMultilevel"/>
    <w:lvl w:ilvl="0">
      <w:lvlJc w:val="left"/>
      <w:lvlText w:val="%1."/>
      <w:numFmt w:val="upperLetter"/>
      <w:start w:val="5"/>
    </w:lvl>
  </w:abstractNum>
  <w:abstractNum w:abstractNumId="64">
    <w:nsid w:val="45E6D486"/>
    <w:multiLevelType w:val="hybridMultilevel"/>
    <w:lvl w:ilvl="0">
      <w:lvlJc w:val="left"/>
      <w:lvlText w:val="•"/>
      <w:numFmt w:val="bullet"/>
      <w:start w:val="1"/>
    </w:lvl>
  </w:abstractNum>
  <w:abstractNum w:abstractNumId="65">
    <w:nsid w:val="5C10FE21"/>
    <w:multiLevelType w:val="hybridMultilevel"/>
    <w:lvl w:ilvl="0">
      <w:lvlJc w:val="left"/>
      <w:lvlText w:val="*"/>
      <w:numFmt w:val="bullet"/>
      <w:start w:val="1"/>
    </w:lvl>
  </w:abstractNum>
  <w:abstractNum w:abstractNumId="66">
    <w:nsid w:val="E7FFA2B"/>
    <w:multiLevelType w:val="hybridMultilevel"/>
    <w:lvl w:ilvl="0">
      <w:lvlJc w:val="left"/>
      <w:lvlText w:val="**"/>
      <w:numFmt w:val="bullet"/>
      <w:start w:val="1"/>
    </w:lvl>
  </w:abstractNum>
  <w:abstractNum w:abstractNumId="67">
    <w:nsid w:val="3C5991AA"/>
    <w:multiLevelType w:val="hybridMultilevel"/>
    <w:lvl w:ilvl="0">
      <w:lvlJc w:val="left"/>
      <w:lvlText w:val="†"/>
      <w:numFmt w:val="bullet"/>
      <w:start w:val="1"/>
    </w:lvl>
  </w:abstractNum>
  <w:abstractNum w:abstractNumId="68">
    <w:nsid w:val="4BD8591A"/>
    <w:multiLevelType w:val="hybridMultilevel"/>
    <w:lvl w:ilvl="0">
      <w:lvlJc w:val="left"/>
      <w:lvlText w:val="††"/>
      <w:numFmt w:val="bullet"/>
      <w:start w:val="1"/>
    </w:lvl>
  </w:abstractNum>
  <w:abstractNum w:abstractNumId="69">
    <w:nsid w:val="78DF6A55"/>
    <w:multiLevelType w:val="hybridMultilevel"/>
    <w:lvl w:ilvl="0">
      <w:lvlJc w:val="left"/>
      <w:lvlText w:val="(%1)"/>
      <w:numFmt w:val="decimal"/>
      <w:start w:val="1"/>
    </w:lvl>
  </w:abstractNum>
  <w:abstractNum w:abstractNumId="70">
    <w:nsid w:val="39B7AAA2"/>
    <w:multiLevelType w:val="hybridMultilevel"/>
    <w:lvl w:ilvl="0">
      <w:lvlJc w:val="left"/>
      <w:lvlText w:val="(%1)"/>
      <w:numFmt w:val="decimal"/>
      <w:start w:val="4"/>
    </w:lvl>
  </w:abstractNum>
  <w:abstractNum w:abstractNumId="71">
    <w:nsid w:val="2B0D8DBE"/>
    <w:multiLevelType w:val="hybridMultilevel"/>
    <w:lvl w:ilvl="0">
      <w:lvlJc w:val="left"/>
      <w:lvlText w:val="%1."/>
      <w:numFmt w:val="upperLetter"/>
      <w:start w:val="1"/>
    </w:lvl>
  </w:abstractNum>
  <w:abstractNum w:abstractNumId="72">
    <w:nsid w:val="6C80EC70"/>
    <w:multiLevelType w:val="hybridMultilevel"/>
    <w:lvl w:ilvl="0">
      <w:lvlJc w:val="left"/>
      <w:lvlText w:val="%1."/>
      <w:numFmt w:val="upperLetter"/>
      <w:start w:val="2"/>
    </w:lvl>
  </w:abstractNum>
  <w:abstractNum w:abstractNumId="73">
    <w:nsid w:val="379E21B5"/>
    <w:multiLevelType w:val="hybridMultilevel"/>
    <w:lvl w:ilvl="0">
      <w:lvlJc w:val="left"/>
      <w:lvlText w:val="(%1)"/>
      <w:numFmt w:val="lowerRoman"/>
      <w:start w:val="2"/>
    </w:lvl>
  </w:abstractNum>
  <w:abstractNum w:abstractNumId="74">
    <w:nsid w:val="69E373"/>
    <w:multiLevelType w:val="hybridMultilevel"/>
    <w:lvl w:ilvl="0">
      <w:lvlJc w:val="left"/>
      <w:lvlText w:val="%1."/>
      <w:numFmt w:val="upperLetter"/>
      <w:start w:val="3"/>
    </w:lvl>
  </w:abstractNum>
  <w:abstractNum w:abstractNumId="75">
    <w:nsid w:val="2C27173B"/>
    <w:multiLevelType w:val="hybridMultilevel"/>
    <w:lvl w:ilvl="0">
      <w:lvlJc w:val="left"/>
      <w:lvlText w:val="%1."/>
      <w:numFmt w:val="upperLetter"/>
      <w:start w:val="1"/>
    </w:lvl>
  </w:abstractNum>
  <w:abstractNum w:abstractNumId="76">
    <w:nsid w:val="4C9B0904"/>
    <w:multiLevelType w:val="hybridMultilevel"/>
    <w:lvl w:ilvl="0">
      <w:lvlJc w:val="left"/>
      <w:lvlText w:val="•"/>
      <w:numFmt w:val="bullet"/>
      <w:start w:val="1"/>
    </w:lvl>
  </w:abstractNum>
  <w:abstractNum w:abstractNumId="77">
    <w:nsid w:val="6AA7B75C"/>
    <w:multiLevelType w:val="hybridMultilevel"/>
    <w:lvl w:ilvl="0">
      <w:lvlJc w:val="left"/>
      <w:lvlText w:val="•"/>
      <w:numFmt w:val="bullet"/>
      <w:start w:val="1"/>
    </w:lvl>
  </w:abstractNum>
  <w:abstractNum w:abstractNumId="78">
    <w:nsid w:val="1DF029D3"/>
    <w:multiLevelType w:val="hybridMultilevel"/>
    <w:lvl w:ilvl="0">
      <w:lvlJc w:val="left"/>
      <w:lvlText w:val="•"/>
      <w:numFmt w:val="bullet"/>
      <w:start w:val="1"/>
    </w:lvl>
  </w:abstractNum>
  <w:abstractNum w:abstractNumId="79">
    <w:nsid w:val="5675FF36"/>
    <w:multiLevelType w:val="hybridMultilevel"/>
    <w:lvl w:ilvl="0">
      <w:lvlJc w:val="left"/>
      <w:lvlText w:val="•"/>
      <w:numFmt w:val="bullet"/>
      <w:start w:val="1"/>
    </w:lvl>
  </w:abstractNum>
  <w:abstractNum w:abstractNumId="80">
    <w:nsid w:val="3DD15094"/>
    <w:multiLevelType w:val="hybridMultilevel"/>
    <w:lvl w:ilvl="0">
      <w:lvlJc w:val="left"/>
      <w:lvlText w:val="•"/>
      <w:numFmt w:val="bullet"/>
      <w:start w:val="1"/>
    </w:lvl>
  </w:abstractNum>
  <w:abstractNum w:abstractNumId="81">
    <w:nsid w:val="3DB012B3"/>
    <w:multiLevelType w:val="hybridMultilevel"/>
    <w:lvl w:ilvl="0">
      <w:lvlJc w:val="left"/>
      <w:lvlText w:val="%1."/>
      <w:numFmt w:val="upperLetter"/>
      <w:start w:val="5"/>
    </w:lvl>
  </w:abstractNum>
  <w:abstractNum w:abstractNumId="82">
    <w:nsid w:val="2708C9AF"/>
    <w:multiLevelType w:val="hybridMultilevel"/>
    <w:lvl w:ilvl="0">
      <w:lvlJc w:val="left"/>
      <w:lvlText w:val="(%1)"/>
      <w:numFmt w:val="lowerRoman"/>
      <w:start w:val="1"/>
    </w:lvl>
  </w:abstractNum>
  <w:abstractNum w:abstractNumId="83">
    <w:nsid w:val="5B25ACE2"/>
    <w:multiLevelType w:val="hybridMultilevel"/>
    <w:lvl w:ilvl="0">
      <w:lvlJc w:val="left"/>
      <w:lvlText w:val="•"/>
      <w:numFmt w:val="bullet"/>
      <w:start w:val="1"/>
    </w:lvl>
  </w:abstractNum>
  <w:abstractNum w:abstractNumId="84">
    <w:nsid w:val="175DFCF0"/>
    <w:multiLevelType w:val="hybridMultilevel"/>
    <w:lvl w:ilvl="0">
      <w:lvlJc w:val="left"/>
      <w:lvlText w:val="•"/>
      <w:numFmt w:val="bullet"/>
      <w:start w:val="1"/>
    </w:lvl>
  </w:abstractNum>
  <w:abstractNum w:abstractNumId="85">
    <w:nsid w:val="4F97E3E4"/>
    <w:multiLevelType w:val="hybridMultilevel"/>
    <w:lvl w:ilvl="0">
      <w:lvlJc w:val="left"/>
      <w:lvlText w:val="(%1)"/>
      <w:numFmt w:val="lowerLetter"/>
      <w:start w:val="3"/>
    </w:lvl>
  </w:abstractNum>
  <w:abstractNum w:abstractNumId="86">
    <w:nsid w:val="53B0A9E"/>
    <w:multiLevelType w:val="hybridMultilevel"/>
    <w:lvl w:ilvl="0">
      <w:lvlJc w:val="left"/>
      <w:lvlText w:val="•"/>
      <w:numFmt w:val="bullet"/>
      <w:start w:val="1"/>
    </w:lvl>
  </w:abstractNum>
  <w:abstractNum w:abstractNumId="87">
    <w:nsid w:val="34FD6B4F"/>
    <w:multiLevelType w:val="hybridMultilevel"/>
    <w:lvl w:ilvl="0">
      <w:lvlJc w:val="left"/>
      <w:lvlText w:val="(%1)"/>
      <w:numFmt w:val="lowerRoman"/>
      <w:start w:val="1"/>
    </w:lvl>
  </w:abstractNum>
  <w:abstractNum w:abstractNumId="88">
    <w:nsid w:val="5915FF32"/>
    <w:multiLevelType w:val="hybridMultilevel"/>
    <w:lvl w:ilvl="0">
      <w:lvlJc w:val="left"/>
      <w:lvlText w:val="•"/>
      <w:numFmt w:val="bullet"/>
      <w:start w:val="1"/>
    </w:lvl>
  </w:abstractNum>
  <w:abstractNum w:abstractNumId="89">
    <w:nsid w:val="56438D15"/>
    <w:multiLevelType w:val="hybridMultilevel"/>
    <w:lvl w:ilvl="0">
      <w:lvlJc w:val="left"/>
      <w:lvlText w:val="(%1)"/>
      <w:numFmt w:val="decimal"/>
      <w:start w:val="1"/>
    </w:lvl>
  </w:abstractNum>
  <w:abstractNum w:abstractNumId="90">
    <w:nsid w:val="519E3149"/>
    <w:multiLevelType w:val="hybridMultilevel"/>
    <w:lvl w:ilvl="0">
      <w:lvlJc w:val="left"/>
      <w:lvlText w:val="•"/>
      <w:numFmt w:val="bullet"/>
      <w:start w:val="1"/>
    </w:lvl>
  </w:abstractNum>
  <w:abstractNum w:abstractNumId="91">
    <w:nsid w:val="2C6E4AFD"/>
    <w:multiLevelType w:val="hybridMultilevel"/>
    <w:lvl w:ilvl="0">
      <w:lvlJc w:val="left"/>
      <w:lvlText w:val="*"/>
      <w:numFmt w:val="bullet"/>
      <w:start w:val="1"/>
    </w:lvl>
  </w:abstractNum>
  <w:abstractNum w:abstractNumId="92">
    <w:nsid w:val="17A1B582"/>
    <w:multiLevelType w:val="hybridMultilevel"/>
    <w:lvl w:ilvl="0">
      <w:lvlJc w:val="left"/>
      <w:lvlText w:val="**"/>
      <w:numFmt w:val="bullet"/>
      <w:start w:val="1"/>
    </w:lvl>
  </w:abstractNum>
  <w:abstractNum w:abstractNumId="93">
    <w:nsid w:val="4DF72E4E"/>
    <w:multiLevelType w:val="hybridMultilevel"/>
    <w:lvl w:ilvl="0">
      <w:lvlJc w:val="left"/>
      <w:lvlText w:val="%1."/>
      <w:numFmt w:val="decimal"/>
      <w:start w:val="1"/>
    </w:lvl>
  </w:abstractNum>
  <w:abstractNum w:abstractNumId="94">
    <w:nsid w:val="5046B5A9"/>
    <w:multiLevelType w:val="hybridMultilevel"/>
    <w:lvl w:ilvl="0">
      <w:lvlJc w:val="left"/>
      <w:lvlText w:val="%1."/>
      <w:numFmt w:val="decimal"/>
      <w:start w:val="1"/>
    </w:lvl>
  </w:abstractNum>
  <w:abstractNum w:abstractNumId="95">
    <w:nsid w:val="5D888A08"/>
    <w:multiLevelType w:val="hybridMultilevel"/>
    <w:lvl w:ilvl="0">
      <w:lvlJc w:val="left"/>
      <w:lvlText w:val="%1."/>
      <w:numFmt w:val="decimal"/>
      <w:start w:val="1"/>
    </w:lvl>
  </w:abstractNum>
  <w:abstractNum w:abstractNumId="96">
    <w:nsid w:val="2A082C70"/>
    <w:multiLevelType w:val="hybridMultilevel"/>
    <w:lvl w:ilvl="0">
      <w:lvlJc w:val="left"/>
      <w:lvlText w:val="(%1)"/>
      <w:numFmt w:val="decimal"/>
      <w:start w:val="1"/>
    </w:lvl>
  </w:abstractNum>
  <w:abstractNum w:abstractNumId="97">
    <w:nsid w:val="5EC6AFD4"/>
    <w:multiLevelType w:val="hybridMultilevel"/>
    <w:lvl w:ilvl="0">
      <w:lvlJc w:val="left"/>
      <w:lvlText w:val="•"/>
      <w:numFmt w:val="bullet"/>
      <w:start w:val="1"/>
    </w:lvl>
  </w:abstractNum>
  <w:abstractNum w:abstractNumId="98">
    <w:nsid w:val="19E21BB2"/>
    <w:multiLevelType w:val="hybridMultilevel"/>
    <w:lvl w:ilvl="0">
      <w:lvlJc w:val="left"/>
      <w:lvlText w:val="(%1)"/>
      <w:numFmt w:val="decimal"/>
      <w:start w:val="2"/>
    </w:lvl>
  </w:abstractNum>
  <w:abstractNum w:abstractNumId="99">
    <w:nsid w:val="75E0858A"/>
    <w:multiLevelType w:val="hybridMultilevel"/>
    <w:lvl w:ilvl="0">
      <w:lvlJc w:val="left"/>
      <w:lvlText w:val="•"/>
      <w:numFmt w:val="bullet"/>
      <w:start w:val="1"/>
    </w:lvl>
  </w:abstractNum>
  <w:abstractNum w:abstractNumId="100">
    <w:nsid w:val="57A61A29"/>
    <w:multiLevelType w:val="hybridMultilevel"/>
    <w:lvl w:ilvl="0">
      <w:lvlJc w:val="left"/>
      <w:lvlText w:val="(%1)"/>
      <w:numFmt w:val="decimal"/>
      <w:start w:val="3"/>
    </w:lvl>
  </w:abstractNum>
  <w:abstractNum w:abstractNumId="101">
    <w:nsid w:val="5399C654"/>
    <w:multiLevelType w:val="hybridMultilevel"/>
    <w:lvl w:ilvl="0">
      <w:lvlJc w:val="left"/>
      <w:lvlText w:val="•"/>
      <w:numFmt w:val="bullet"/>
      <w:start w:val="1"/>
    </w:lvl>
  </w:abstractNum>
  <w:abstractNum w:abstractNumId="102">
    <w:nsid w:val="20EE1348"/>
    <w:multiLevelType w:val="hybridMultilevel"/>
    <w:lvl w:ilvl="0">
      <w:lvlJc w:val="left"/>
      <w:lvlText w:val="%1."/>
      <w:numFmt w:val="decimal"/>
      <w:start w:val="1"/>
    </w:lvl>
  </w:abstractNum>
  <w:abstractNum w:abstractNumId="103">
    <w:nsid w:val="4427069A"/>
    <w:multiLevelType w:val="hybridMultilevel"/>
    <w:lvl w:ilvl="0">
      <w:lvlJc w:val="left"/>
      <w:lvlText w:val="(%1)"/>
      <w:numFmt w:val="decimal"/>
      <w:start w:val="3"/>
    </w:lvl>
  </w:abstractNum>
  <w:abstractNum w:abstractNumId="104">
    <w:nsid w:val="B37E80A"/>
    <w:multiLevelType w:val="hybridMultilevel"/>
    <w:lvl w:ilvl="0">
      <w:lvlJc w:val="left"/>
      <w:lvlText w:val="•"/>
      <w:numFmt w:val="bullet"/>
      <w:start w:val="1"/>
    </w:lvl>
  </w:abstractNum>
  <w:abstractNum w:abstractNumId="105">
    <w:nsid w:val="2157F6BC"/>
    <w:multiLevelType w:val="hybridMultilevel"/>
    <w:lvl w:ilvl="0">
      <w:lvlJc w:val="left"/>
      <w:lvlText w:val="(%1)"/>
      <w:numFmt w:val="decimal"/>
      <w:start w:val="4"/>
    </w:lvl>
  </w:abstractNum>
  <w:abstractNum w:abstractNumId="106">
    <w:nsid w:val="704E1DD5"/>
    <w:multiLevelType w:val="hybridMultilevel"/>
    <w:lvl w:ilvl="0">
      <w:lvlJc w:val="left"/>
      <w:lvlText w:val="•"/>
      <w:numFmt w:val="bullet"/>
      <w:start w:val="1"/>
    </w:lvl>
  </w:abstractNum>
  <w:abstractNum w:abstractNumId="107">
    <w:nsid w:val="57D2F10E"/>
    <w:multiLevelType w:val="hybridMultilevel"/>
    <w:lvl w:ilvl="0">
      <w:lvlJc w:val="left"/>
      <w:lvlText w:val="(%1)"/>
      <w:numFmt w:val="decimal"/>
      <w:start w:val="5"/>
    </w:lvl>
  </w:abstractNum>
  <w:abstractNum w:abstractNumId="108">
    <w:nsid w:val="BFFAE18"/>
    <w:multiLevelType w:val="hybridMultilevel"/>
    <w:lvl w:ilvl="0">
      <w:lvlJc w:val="left"/>
      <w:lvlText w:val="•"/>
      <w:numFmt w:val="bullet"/>
      <w:start w:val="1"/>
    </w:lvl>
  </w:abstractNum>
  <w:abstractNum w:abstractNumId="109">
    <w:nsid w:val="E3E47A8"/>
    <w:multiLevelType w:val="hybridMultilevel"/>
    <w:lvl w:ilvl="0">
      <w:lvlJc w:val="left"/>
      <w:lvlText w:val="(%1)"/>
      <w:numFmt w:val="lowerRoman"/>
      <w:start w:val="2"/>
    </w:lvl>
  </w:abstractNum>
  <w:abstractNum w:abstractNumId="110">
    <w:nsid w:val="2E48F044"/>
    <w:multiLevelType w:val="hybridMultilevel"/>
    <w:lvl w:ilvl="0">
      <w:lvlJc w:val="left"/>
      <w:lvlText w:val="%1."/>
      <w:numFmt w:val="decimal"/>
      <w:start w:val="1"/>
    </w:lvl>
  </w:abstractNum>
  <w:abstractNum w:abstractNumId="111">
    <w:nsid w:val="49D0FEAC"/>
    <w:multiLevelType w:val="hybridMultilevel"/>
    <w:lvl w:ilvl="0">
      <w:lvlJc w:val="left"/>
      <w:lvlText w:val="1"/>
      <w:numFmt w:val="bullet"/>
      <w:start w:val="1"/>
    </w:lvl>
  </w:abstractNum>
  <w:abstractNum w:abstractNumId="112">
    <w:nsid w:val="4BEE5A5B"/>
    <w:multiLevelType w:val="hybridMultilevel"/>
    <w:lvl w:ilvl="0">
      <w:lvlJc w:val="left"/>
      <w:lvlText w:val="*"/>
      <w:numFmt w:val="bullet"/>
      <w:start w:val="1"/>
    </w:lvl>
  </w:abstractNum>
  <w:abstractNum w:abstractNumId="113">
    <w:nsid w:val="5551B9F3"/>
    <w:multiLevelType w:val="hybridMultilevel"/>
    <w:lvl w:ilvl="0">
      <w:lvlJc w:val="left"/>
      <w:lvlText w:val="1"/>
      <w:numFmt w:val="bullet"/>
      <w:start w:val="1"/>
    </w:lvl>
  </w:abstractNum>
  <w:abstractNum w:abstractNumId="114">
    <w:nsid w:val="24F6AB8E"/>
    <w:multiLevelType w:val="hybridMultilevel"/>
    <w:lvl w:ilvl="0">
      <w:lvlJc w:val="left"/>
      <w:lvlText w:val="2"/>
      <w:numFmt w:val="bullet"/>
      <w:start w:val="1"/>
    </w:lvl>
  </w:abstractNum>
  <w:abstractNum w:abstractNumId="115">
    <w:nsid w:val="634C574C"/>
    <w:multiLevelType w:val="hybridMultilevel"/>
    <w:lvl w:ilvl="0">
      <w:lvlJc w:val="left"/>
      <w:lvlText w:val="2"/>
      <w:numFmt w:val="bullet"/>
      <w:start w:val="1"/>
    </w:lvl>
  </w:abstractNum>
  <w:abstractNum w:abstractNumId="116">
    <w:nsid w:val="24E99DD7"/>
    <w:multiLevelType w:val="hybridMultilevel"/>
    <w:lvl w:ilvl="0">
      <w:lvlJc w:val="left"/>
      <w:lvlText w:val="2"/>
      <w:numFmt w:val="bullet"/>
      <w:start w:val="1"/>
    </w:lvl>
  </w:abstractNum>
  <w:abstractNum w:abstractNumId="117">
    <w:nsid w:val="2A31B62D"/>
    <w:multiLevelType w:val="hybridMultilevel"/>
    <w:lvl w:ilvl="0">
      <w:lvlJc w:val="left"/>
      <w:lvlText w:val="2"/>
      <w:numFmt w:val="bullet"/>
      <w:start w:val="1"/>
    </w:lvl>
  </w:abstractNum>
  <w:abstractNum w:abstractNumId="118">
    <w:nsid w:val="1849C29B"/>
    <w:multiLevelType w:val="hybridMultilevel"/>
    <w:lvl w:ilvl="0">
      <w:lvlJc w:val="left"/>
      <w:lvlText w:val="2"/>
      <w:numFmt w:val="bullet"/>
      <w:start w:val="1"/>
    </w:lvl>
  </w:abstractNum>
  <w:abstractNum w:abstractNumId="119">
    <w:nsid w:val="7DFF9D09"/>
    <w:multiLevelType w:val="hybridMultilevel"/>
    <w:lvl w:ilvl="0">
      <w:lvlJc w:val="left"/>
      <w:lvlText w:val="2"/>
      <w:numFmt w:val="bullet"/>
      <w:start w:val="1"/>
    </w:lvl>
  </w:abstractNum>
  <w:abstractNum w:abstractNumId="120">
    <w:nsid w:val="754342"/>
    <w:multiLevelType w:val="hybridMultilevel"/>
    <w:lvl w:ilvl="0">
      <w:lvlJc w:val="left"/>
      <w:lvlText w:val="2"/>
      <w:numFmt w:val="bullet"/>
      <w:start w:val="1"/>
    </w:lvl>
  </w:abstractNum>
  <w:abstractNum w:abstractNumId="121">
    <w:nsid w:val="69E7F3E5"/>
    <w:multiLevelType w:val="hybridMultilevel"/>
    <w:lvl w:ilvl="0">
      <w:lvlJc w:val="left"/>
      <w:lvlText w:val="2"/>
      <w:numFmt w:val="bullet"/>
      <w:start w:val="1"/>
    </w:lvl>
  </w:abstractNum>
  <w:abstractNum w:abstractNumId="122">
    <w:nsid w:val="2A6DE806"/>
    <w:multiLevelType w:val="hybridMultilevel"/>
    <w:lvl w:ilvl="0">
      <w:lvlJc w:val="left"/>
      <w:lvlText w:val="2"/>
      <w:numFmt w:val="bullet"/>
      <w:start w:val="1"/>
    </w:lvl>
  </w:abstractNum>
  <w:abstractNum w:abstractNumId="123">
    <w:nsid w:val="1816F8C4"/>
    <w:multiLevelType w:val="hybridMultilevel"/>
    <w:lvl w:ilvl="0">
      <w:lvlJc w:val="left"/>
      <w:lvlText w:val="2"/>
      <w:numFmt w:val="bullet"/>
      <w:start w:val="1"/>
    </w:lvl>
  </w:abstractNum>
  <w:abstractNum w:abstractNumId="124">
    <w:nsid w:val="37DF2233"/>
    <w:multiLevelType w:val="hybridMultilevel"/>
    <w:lvl w:ilvl="0">
      <w:lvlJc w:val="left"/>
      <w:lvlText w:val="2"/>
      <w:numFmt w:val="bullet"/>
      <w:start w:val="1"/>
    </w:lvl>
  </w:abstractNum>
  <w:abstractNum w:abstractNumId="125">
    <w:nsid w:val="7AB49DAF"/>
    <w:multiLevelType w:val="hybridMultilevel"/>
    <w:lvl w:ilvl="0">
      <w:lvlJc w:val="left"/>
      <w:lvlText w:val="2"/>
      <w:numFmt w:val="bullet"/>
      <w:start w:val="1"/>
    </w:lvl>
  </w:abstractNum>
  <w:abstractNum w:abstractNumId="126">
    <w:nsid w:val="759F82CD"/>
    <w:multiLevelType w:val="hybridMultilevel"/>
    <w:lvl w:ilvl="0">
      <w:lvlJc w:val="left"/>
      <w:lvlText w:val="2"/>
      <w:numFmt w:val="bullet"/>
      <w:start w:val="1"/>
    </w:lvl>
  </w:abstractNum>
  <w:abstractNum w:abstractNumId="127">
    <w:nsid w:val="61E74EA3"/>
    <w:multiLevelType w:val="hybridMultilevel"/>
    <w:lvl w:ilvl="0">
      <w:lvlJc w:val="left"/>
      <w:lvlText w:val="2"/>
      <w:numFmt w:val="bullet"/>
      <w:start w:val="1"/>
    </w:lvl>
  </w:abstractNum>
  <w:abstractNum w:abstractNumId="128">
    <w:nsid w:val="597B4D84"/>
    <w:multiLevelType w:val="hybridMultilevel"/>
    <w:lvl w:ilvl="0">
      <w:lvlJc w:val="left"/>
      <w:lvlText w:val="2"/>
      <w:numFmt w:val="bullet"/>
      <w:start w:val="1"/>
    </w:lvl>
  </w:abstractNum>
  <w:abstractNum w:abstractNumId="129">
    <w:nsid w:val="F819E7F"/>
    <w:multiLevelType w:val="hybridMultilevel"/>
    <w:lvl w:ilvl="0">
      <w:lvlJc w:val="left"/>
      <w:lvlText w:val="2"/>
      <w:numFmt w:val="bullet"/>
      <w:start w:val="1"/>
    </w:lvl>
  </w:abstractNum>
  <w:abstractNum w:abstractNumId="130">
    <w:nsid w:val="57C7D42D"/>
    <w:multiLevelType w:val="hybridMultilevel"/>
    <w:lvl w:ilvl="0">
      <w:lvlJc w:val="left"/>
      <w:lvlText w:val="2"/>
      <w:numFmt w:val="bullet"/>
      <w:start w:val="1"/>
    </w:lvl>
  </w:abstractNum>
  <w:abstractNum w:abstractNumId="131">
    <w:nsid w:val="312167AD"/>
    <w:multiLevelType w:val="hybridMultilevel"/>
    <w:lvl w:ilvl="0">
      <w:lvlJc w:val="left"/>
      <w:lvlText w:val="3"/>
      <w:numFmt w:val="bullet"/>
      <w:start w:val="1"/>
    </w:lvl>
  </w:abstractNum>
  <w:abstractNum w:abstractNumId="132">
    <w:nsid w:val="631B64D4"/>
    <w:multiLevelType w:val="hybridMultilevel"/>
    <w:lvl w:ilvl="0">
      <w:lvlJc w:val="left"/>
      <w:lvlText w:val="3"/>
      <w:numFmt w:val="bullet"/>
      <w:start w:val="1"/>
    </w:lvl>
  </w:abstractNum>
  <w:abstractNum w:abstractNumId="133">
    <w:nsid w:val="78B5E776"/>
    <w:multiLevelType w:val="hybridMultilevel"/>
    <w:lvl w:ilvl="0">
      <w:lvlJc w:val="left"/>
      <w:lvlText w:val="4"/>
      <w:numFmt w:val="bullet"/>
      <w:start w:val="1"/>
    </w:lvl>
  </w:abstractNum>
  <w:abstractNum w:abstractNumId="134">
    <w:nsid w:val="75486E47"/>
    <w:multiLevelType w:val="hybridMultilevel"/>
    <w:lvl w:ilvl="0">
      <w:lvlJc w:val="left"/>
      <w:lvlText w:val="5"/>
      <w:numFmt w:val="bullet"/>
      <w:start w:val="1"/>
    </w:lvl>
  </w:abstractNum>
  <w:abstractNum w:abstractNumId="135">
    <w:nsid w:val="6E534CDE"/>
    <w:multiLevelType w:val="hybridMultilevel"/>
    <w:lvl w:ilvl="0">
      <w:lvlJc w:val="left"/>
      <w:lvlText w:val="7"/>
      <w:numFmt w:val="bullet"/>
      <w:start w:val="1"/>
    </w:lvl>
  </w:abstractNum>
  <w:abstractNum w:abstractNumId="136">
    <w:nsid w:val="1A0DDE32"/>
    <w:multiLevelType w:val="hybridMultilevel"/>
    <w:lvl w:ilvl="0">
      <w:lvlJc w:val="left"/>
      <w:lvlText w:val="8"/>
      <w:numFmt w:val="bullet"/>
      <w:start w:val="1"/>
    </w:lvl>
  </w:abstractNum>
  <w:abstractNum w:abstractNumId="137">
    <w:nsid w:val="65968C1C"/>
    <w:multiLevelType w:val="hybridMultilevel"/>
    <w:lvl w:ilvl="0">
      <w:lvlJc w:val="left"/>
      <w:lvlText w:val="9"/>
      <w:numFmt w:val="bullet"/>
      <w:start w:val="1"/>
    </w:lvl>
  </w:abstractNum>
  <w:abstractNum w:abstractNumId="138">
    <w:nsid w:val="46263DEC"/>
    <w:multiLevelType w:val="hybridMultilevel"/>
    <w:lvl w:ilvl="0">
      <w:lvlJc w:val="left"/>
      <w:lvlText w:val="%1)"/>
      <w:numFmt w:val="lowerLetter"/>
      <w:start w:val="2"/>
    </w:lvl>
  </w:abstractNum>
  <w:abstractNum w:abstractNumId="139">
    <w:nsid w:val="260D8C4A"/>
    <w:multiLevelType w:val="hybridMultilevel"/>
    <w:lvl w:ilvl="0">
      <w:lvlJc w:val="left"/>
      <w:lvlText w:val="(%1)"/>
      <w:numFmt w:val="lowerRoman"/>
      <w:start w:val="1"/>
    </w:lvl>
  </w:abstractNum>
  <w:abstractNum w:abstractNumId="140">
    <w:nsid w:val="73D4D3C4"/>
    <w:multiLevelType w:val="hybridMultilevel"/>
    <w:lvl w:ilvl="0">
      <w:lvlJc w:val="left"/>
      <w:lvlText w:val="•"/>
      <w:numFmt w:val="bullet"/>
      <w:start w:val="1"/>
    </w:lvl>
  </w:abstractNum>
  <w:abstractNum w:abstractNumId="141">
    <w:nsid w:val="746F2E30"/>
    <w:multiLevelType w:val="hybridMultilevel"/>
    <w:lvl w:ilvl="0">
      <w:lvlJc w:val="left"/>
      <w:lvlText w:val="•"/>
      <w:numFmt w:val="bullet"/>
      <w:start w:val="1"/>
    </w:lvl>
  </w:abstractNum>
  <w:abstractNum w:abstractNumId="142">
    <w:nsid w:val="6FDE8AF6"/>
    <w:multiLevelType w:val="hybridMultilevel"/>
    <w:lvl w:ilvl="0">
      <w:lvlJc w:val="left"/>
      <w:lvlText w:val="•"/>
      <w:numFmt w:val="bullet"/>
      <w:start w:val="1"/>
    </w:lvl>
  </w:abstractNum>
  <w:abstractNum w:abstractNumId="143">
    <w:nsid w:val="3FC32E20"/>
    <w:multiLevelType w:val="hybridMultilevel"/>
    <w:lvl w:ilvl="0">
      <w:lvlJc w:val="left"/>
      <w:lvlText w:val="•"/>
      <w:numFmt w:val="bullet"/>
      <w:start w:val="1"/>
    </w:lvl>
  </w:abstractNum>
  <w:abstractNum w:abstractNumId="144">
    <w:nsid w:val="49C0E823"/>
    <w:multiLevelType w:val="hybridMultilevel"/>
    <w:lvl w:ilvl="0">
      <w:lvlJc w:val="left"/>
      <w:lvlText w:val="•"/>
      <w:numFmt w:val="bullet"/>
      <w:start w:val="1"/>
    </w:lvl>
  </w:abstractNum>
  <w:abstractNum w:abstractNumId="145">
    <w:nsid w:val="14D53685"/>
    <w:multiLevelType w:val="hybridMultilevel"/>
    <w:lvl w:ilvl="0">
      <w:lvlJc w:val="left"/>
      <w:lvlText w:val="•"/>
      <w:numFmt w:val="bullet"/>
      <w:start w:val="1"/>
    </w:lvl>
  </w:abstractNum>
  <w:abstractNum w:abstractNumId="146">
    <w:nsid w:val="230F856C"/>
    <w:multiLevelType w:val="hybridMultilevel"/>
    <w:lvl w:ilvl="0">
      <w:lvlJc w:val="left"/>
      <w:lvlText w:val="•"/>
      <w:numFmt w:val="bullet"/>
      <w:start w:val="1"/>
    </w:lvl>
  </w:abstractNum>
  <w:abstractNum w:abstractNumId="147">
    <w:nsid w:val="6EAA85FB"/>
    <w:multiLevelType w:val="hybridMultilevel"/>
    <w:lvl w:ilvl="0">
      <w:lvlJc w:val="left"/>
      <w:lvlText w:val="•"/>
      <w:numFmt w:val="bullet"/>
      <w:start w:val="1"/>
    </w:lvl>
  </w:abstractNum>
  <w:abstractNum w:abstractNumId="148">
    <w:nsid w:val="3F06ECB2"/>
    <w:multiLevelType w:val="hybridMultilevel"/>
    <w:lvl w:ilvl="0">
      <w:lvlJc w:val="left"/>
      <w:lvlText w:val="•"/>
      <w:numFmt w:val="bullet"/>
      <w:start w:val="1"/>
    </w:lvl>
  </w:abstractNum>
  <w:abstractNum w:abstractNumId="149">
    <w:nsid w:val="3B594807"/>
    <w:multiLevelType w:val="hybridMultilevel"/>
    <w:lvl w:ilvl="0">
      <w:lvlJc w:val="left"/>
      <w:lvlText w:val="•"/>
      <w:numFmt w:val="bullet"/>
      <w:start w:val="1"/>
    </w:lvl>
  </w:abstractNum>
  <w:abstractNum w:abstractNumId="150">
    <w:nsid w:val="6CAA2304"/>
    <w:multiLevelType w:val="hybridMultilevel"/>
    <w:lvl w:ilvl="0">
      <w:lvlJc w:val="left"/>
      <w:lvlText w:val="(%1)"/>
      <w:numFmt w:val="lowerLetter"/>
      <w:start w:val="2"/>
    </w:lvl>
  </w:abstractNum>
  <w:abstractNum w:abstractNumId="151">
    <w:nsid w:val="3F7C2FF4"/>
    <w:multiLevelType w:val="hybridMultilevel"/>
    <w:lvl w:ilvl="0">
      <w:lvlJc w:val="left"/>
      <w:lvlText w:val="(%1)"/>
      <w:numFmt w:val="lowerLetter"/>
      <w:start w:val="9"/>
    </w:lvl>
  </w:abstractNum>
  <w:abstractNum w:abstractNumId="152">
    <w:nsid w:val="25413BEC"/>
    <w:multiLevelType w:val="hybridMultilevel"/>
    <w:lvl w:ilvl="0">
      <w:lvlJc w:val="left"/>
      <w:lvlText w:val="•"/>
      <w:numFmt w:val="bullet"/>
      <w:start w:val="1"/>
    </w:lvl>
  </w:abstractNum>
  <w:abstractNum w:abstractNumId="153">
    <w:nsid w:val="17180B0B"/>
    <w:multiLevelType w:val="hybridMultilevel"/>
    <w:lvl w:ilvl="0">
      <w:lvlJc w:val="left"/>
      <w:lvlText w:val="(%1)"/>
      <w:numFmt w:val="lowerRoman"/>
      <w:start w:val="1"/>
    </w:lvl>
  </w:abstractNum>
  <w:abstractNum w:abstractNumId="154">
    <w:nsid w:val="579328B9"/>
    <w:multiLevelType w:val="hybridMultilevel"/>
    <w:lvl w:ilvl="0">
      <w:lvlJc w:val="left"/>
      <w:lvlText w:val="•"/>
      <w:numFmt w:val="bullet"/>
      <w:start w:val="1"/>
    </w:lvl>
  </w:abstractNum>
  <w:abstractNum w:abstractNumId="155">
    <w:nsid w:val="5D205E20"/>
    <w:multiLevelType w:val="hybridMultilevel"/>
    <w:lvl w:ilvl="0">
      <w:lvlJc w:val="left"/>
      <w:lvlText w:val="•"/>
      <w:numFmt w:val="bullet"/>
      <w:start w:val="1"/>
    </w:lvl>
  </w:abstractNum>
  <w:abstractNum w:abstractNumId="156">
    <w:nsid w:val="11CCA8BA"/>
    <w:multiLevelType w:val="hybridMultilevel"/>
    <w:lvl w:ilvl="0">
      <w:lvlJc w:val="left"/>
      <w:lvlText w:val="•"/>
      <w:numFmt w:val="bullet"/>
      <w:start w:val="1"/>
    </w:lvl>
  </w:abstractNum>
  <w:abstractNum w:abstractNumId="157">
    <w:nsid w:val="4D32AB86"/>
    <w:multiLevelType w:val="hybridMultilevel"/>
    <w:lvl w:ilvl="0">
      <w:lvlJc w:val="left"/>
      <w:lvlText w:val="%1."/>
      <w:numFmt w:val="decimal"/>
      <w:start w:val="1"/>
    </w:lvl>
    <w:lvl w:ilvl="1">
      <w:lvlJc w:val="left"/>
      <w:lvlText w:val="(%2)"/>
      <w:numFmt w:val="lowerLetter"/>
      <w:start w:val="1"/>
    </w:lvl>
  </w:abstractNum>
  <w:abstractNum w:abstractNumId="158">
    <w:nsid w:val="3F07ACC3"/>
    <w:multiLevelType w:val="hybridMultilevel"/>
    <w:lvl w:ilvl="0">
      <w:lvlJc w:val="left"/>
      <w:lvlText w:val="%1."/>
      <w:numFmt w:val="decimal"/>
      <w:start w:val="1"/>
    </w:lvl>
    <w:lvl w:ilvl="1">
      <w:lvlJc w:val="left"/>
      <w:lvlText w:val="(%2)"/>
      <w:numFmt w:val="lowerLetter"/>
      <w:start w:val="1"/>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9"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pn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pn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77" Type="http://schemas.openxmlformats.org/officeDocument/2006/relationships/image" Target="media/image253.png"/><Relationship Id="rId278" Type="http://schemas.openxmlformats.org/officeDocument/2006/relationships/image" Target="media/image254.png"/><Relationship Id="rId279" Type="http://schemas.openxmlformats.org/officeDocument/2006/relationships/image" Target="media/image255.png"/><Relationship Id="rId280" Type="http://schemas.openxmlformats.org/officeDocument/2006/relationships/image" Target="media/image256.png"/><Relationship Id="rId281" Type="http://schemas.openxmlformats.org/officeDocument/2006/relationships/image" Target="media/image257.png"/><Relationship Id="rId282" Type="http://schemas.openxmlformats.org/officeDocument/2006/relationships/image" Target="media/image258.png"/><Relationship Id="rId283" Type="http://schemas.openxmlformats.org/officeDocument/2006/relationships/image" Target="media/image259.png"/><Relationship Id="rId284" Type="http://schemas.openxmlformats.org/officeDocument/2006/relationships/image" Target="media/image260.png"/><Relationship Id="rId285" Type="http://schemas.openxmlformats.org/officeDocument/2006/relationships/image" Target="media/image261.png"/><Relationship Id="rId286" Type="http://schemas.openxmlformats.org/officeDocument/2006/relationships/image" Target="media/image262.png"/><Relationship Id="rId287" Type="http://schemas.openxmlformats.org/officeDocument/2006/relationships/image" Target="media/image263.png"/><Relationship Id="rId288" Type="http://schemas.openxmlformats.org/officeDocument/2006/relationships/image" Target="media/image264.png"/><Relationship Id="rId289" Type="http://schemas.openxmlformats.org/officeDocument/2006/relationships/image" Target="media/image265.png"/><Relationship Id="rId290" Type="http://schemas.openxmlformats.org/officeDocument/2006/relationships/image" Target="media/image266.png"/><Relationship Id="rId291" Type="http://schemas.openxmlformats.org/officeDocument/2006/relationships/image" Target="media/image267.png"/><Relationship Id="rId292" Type="http://schemas.openxmlformats.org/officeDocument/2006/relationships/image" Target="media/image268.png"/><Relationship Id="rId293" Type="http://schemas.openxmlformats.org/officeDocument/2006/relationships/image" Target="media/image269.png"/><Relationship Id="rId294" Type="http://schemas.openxmlformats.org/officeDocument/2006/relationships/image" Target="media/image270.png"/><Relationship Id="rId295" Type="http://schemas.openxmlformats.org/officeDocument/2006/relationships/image" Target="media/image271.jpeg"/><Relationship Id="rId296" Type="http://schemas.openxmlformats.org/officeDocument/2006/relationships/image" Target="media/image272.jpeg"/><Relationship Id="rId297" Type="http://schemas.openxmlformats.org/officeDocument/2006/relationships/image" Target="media/image273.png"/><Relationship Id="rId180" Type="http://schemas.openxmlformats.org/officeDocument/2006/relationships/hyperlink" Target="http://www.sec.gov/Archives/edgar/data/1792267/000119312520149218/d806768dex32.htm" TargetMode="External"/><Relationship Id="rId181" Type="http://schemas.openxmlformats.org/officeDocument/2006/relationships/hyperlink" Target="http://www.sec.gov/Archives/edgar/data/1792267/000119312520162074/d806768dex43.htm" TargetMode="External"/><Relationship Id="rId182" Type="http://schemas.openxmlformats.org/officeDocument/2006/relationships/hyperlink" Target="http://www.sec.gov/Archives/edgar/data/1792267/000119312520149218/d806768dex42.htm" TargetMode="External"/><Relationship Id="rId183" Type="http://schemas.openxmlformats.org/officeDocument/2006/relationships/hyperlink" Target="http://www.sec.gov/Archives/edgar/data/1792267/000119312520149218/d806768dex101.htm" TargetMode="External"/><Relationship Id="rId184" Type="http://schemas.openxmlformats.org/officeDocument/2006/relationships/hyperlink" Target="http://www.sec.gov/Archives/edgar/data/1792267/000119312520149218/d806768dex102.htm" TargetMode="External"/><Relationship Id="rId185" Type="http://schemas.openxmlformats.org/officeDocument/2006/relationships/hyperlink" Target="http://www.sec.gov/Archives/edgar/data/1792267/000119312520149218/d806768dex103.htm" TargetMode="External"/><Relationship Id="rId186" Type="http://schemas.openxmlformats.org/officeDocument/2006/relationships/hyperlink" Target="http://www.sec.gov/Archives/edgar/data/1792267/000119312520149218/d806768dex104.htm" TargetMode="External"/><Relationship Id="rId187" Type="http://schemas.openxmlformats.org/officeDocument/2006/relationships/hyperlink" Target="http://www.sec.gov/Archives/edgar/data/1792267/000119312520149218/d806768dex105.htm" TargetMode="External"/><Relationship Id="rId188" Type="http://schemas.openxmlformats.org/officeDocument/2006/relationships/hyperlink" Target="http://www.sec.gov/Archives/edgar/data/1792267/000119312520149218/d806768dex106.htm" TargetMode="External"/><Relationship Id="rId190" Type="http://schemas.openxmlformats.org/officeDocument/2006/relationships/hyperlink" Target="http://www.sec.gov/Archives/edgar/data/1792267/000119312520149218/d806768dex107.htm" TargetMode="External"/><Relationship Id="rId191" Type="http://schemas.openxmlformats.org/officeDocument/2006/relationships/hyperlink" Target="http://www.sec.gov/Archives/edgar/data/1792267/000119312520149218/d806768dex108.htm" TargetMode="External"/><Relationship Id="rId192" Type="http://schemas.openxmlformats.org/officeDocument/2006/relationships/hyperlink" Target="http://www.sec.gov/Archives/edgar/data/1792267/000119312520149218/d806768dex109.htm" TargetMode="External"/><Relationship Id="rId193" Type="http://schemas.openxmlformats.org/officeDocument/2006/relationships/hyperlink" Target="http://www.sec.gov/Archives/edgar/data/1792267/000119312520149218/d806768dex1010.htm" TargetMode="External"/><Relationship Id="rId194" Type="http://schemas.openxmlformats.org/officeDocument/2006/relationships/hyperlink" Target="http://www.sec.gov/Archives/edgar/data/1792267/000119312520149218/d806768dex1011.htm" TargetMode="External"/><Relationship Id="rId195" Type="http://schemas.openxmlformats.org/officeDocument/2006/relationships/hyperlink" Target="http://www.sec.gov/Archives/edgar/data/1792267/000119312520149218/d806768dex1016.htm" TargetMode="External"/><Relationship Id="rId196" Type="http://schemas.openxmlformats.org/officeDocument/2006/relationships/hyperlink" Target="http://www.sec.gov/Archives/edgar/data/1792267/000119312520162074/d806768dex1013.htm" TargetMode="External"/><Relationship Id="rId197" Type="http://schemas.openxmlformats.org/officeDocument/2006/relationships/hyperlink" Target="http://www.sec.gov/Archives/edgar/data/1792267/000119312520149218/d806768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2021-03-23T08:06:12Z</dcterms:created>
  <dcterms:modified xsi:type="dcterms:W3CDTF">2021-03-23T08:06:12Z</dcterms:modified>
</cp:coreProperties>
</file>