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734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734175"/>
                    </a:xfrm>
                    <a:prstGeom prst="rect">
                      <a:avLst/>
                    </a:prstGeom>
                    <a:noFill/>
                  </pic:spPr>
                </pic:pic>
              </a:graphicData>
            </a:graphic>
          </wp:anchor>
        </w:drawing>
      </w:r>
    </w:p>
    <w:p>
      <w:pPr>
        <w:sectPr>
          <w:pgSz w:w="11900" w:h="1693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Zhang Zhihong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Burning Rock Biotech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BNR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935"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40" w:type="dxa"/>
            <w:vAlign w:val="bottom"/>
          </w:tcPr>
          <w:p>
            <w:pPr>
              <w:ind w:left="40"/>
              <w:spacing w:after="0"/>
              <w:rPr>
                <w:sz w:val="20"/>
                <w:szCs w:val="20"/>
                <w:color w:val="auto"/>
              </w:rPr>
            </w:pPr>
            <w:r>
              <w:rPr>
                <w:rFonts w:ascii="Arial" w:cs="Arial" w:eastAsia="Arial" w:hAnsi="Arial"/>
                <w:sz w:val="15"/>
                <w:szCs w:val="15"/>
                <w:color w:val="auto"/>
              </w:rPr>
              <w:t>(Last)</w:t>
            </w:r>
          </w:p>
        </w:tc>
        <w:tc>
          <w:tcPr>
            <w:tcW w:w="920" w:type="dxa"/>
            <w:vAlign w:val="bottom"/>
          </w:tcPr>
          <w:p>
            <w:pPr>
              <w:ind w:left="2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7720 VIA FRANCESCO UNIT 2</w:t>
            </w:r>
          </w:p>
        </w:tc>
        <w:tc>
          <w:tcPr>
            <w:tcW w:w="0" w:type="dxa"/>
            <w:vAlign w:val="bottom"/>
          </w:tcPr>
          <w:p>
            <w:pPr>
              <w:spacing w:after="0"/>
              <w:rPr>
                <w:sz w:val="1"/>
                <w:szCs w:val="1"/>
                <w:color w:val="auto"/>
              </w:rPr>
            </w:pPr>
          </w:p>
        </w:tc>
      </w:tr>
      <w:tr>
        <w:trPr>
          <w:trHeight w:val="237"/>
        </w:trPr>
        <w:tc>
          <w:tcPr>
            <w:tcW w:w="84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92129</w:t>
            </w:r>
          </w:p>
        </w:tc>
        <w:tc>
          <w:tcPr>
            <w:tcW w:w="0" w:type="dxa"/>
            <w:vAlign w:val="bottom"/>
          </w:tcPr>
          <w:p>
            <w:pPr>
              <w:spacing w:after="0"/>
              <w:rPr>
                <w:sz w:val="1"/>
                <w:szCs w:val="1"/>
                <w:color w:val="auto"/>
              </w:rPr>
            </w:pPr>
          </w:p>
        </w:tc>
      </w:tr>
      <w:tr>
        <w:trPr>
          <w:trHeight w:val="134"/>
        </w:trPr>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DIEGO</w:t>
            </w:r>
          </w:p>
        </w:tc>
        <w:tc>
          <w:tcPr>
            <w:tcW w:w="9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4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935"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20" w:type="dxa"/>
            <w:vAlign w:val="bottom"/>
          </w:tcPr>
          <w:p>
            <w:pPr>
              <w:jc w:val="center"/>
              <w:ind w:left="49"/>
              <w:spacing w:after="0"/>
              <w:rPr>
                <w:sz w:val="20"/>
                <w:szCs w:val="20"/>
                <w:color w:val="auto"/>
              </w:rPr>
            </w:pPr>
            <w:r>
              <w:rPr>
                <w:rFonts w:ascii="Times New Roman" w:cs="Times New Roman" w:eastAsia="Times New Roman" w:hAnsi="Times New Roman"/>
                <w:sz w:val="20"/>
                <w:szCs w:val="20"/>
                <w:color w:val="0000FF"/>
                <w:w w:val="97"/>
              </w:rPr>
              <w:t>1,061,990</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8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80" w:type="dxa"/>
            <w:vAlign w:val="bottom"/>
            <w:tcBorders>
              <w:top w:val="single" w:sz="8" w:color="2C2C2C"/>
            </w:tcBorders>
            <w:gridSpan w:val="6"/>
          </w:tcPr>
          <w:p>
            <w:pPr>
              <w:ind w:left="1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6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4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5"/>
                <w:szCs w:val="15"/>
                <w:color w:val="0000FF"/>
              </w:rPr>
              <w:t>09/26/2032</w:t>
            </w:r>
          </w:p>
        </w:tc>
        <w:tc>
          <w:tcPr>
            <w:tcW w:w="172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6"/>
              </w:rPr>
              <w:t>Ordinary Shares</w:t>
            </w:r>
          </w:p>
        </w:tc>
        <w:tc>
          <w:tcPr>
            <w:tcW w:w="88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4"/>
              </w:rPr>
              <w:t>78,504</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3.33</w:t>
            </w:r>
            <w:r>
              <w:rPr>
                <w:rFonts w:ascii="Times New Roman" w:cs="Times New Roman" w:eastAsia="Times New Roman" w:hAnsi="Times New Roman"/>
                <w:sz w:val="25"/>
                <w:szCs w:val="25"/>
                <w:color w:val="008000"/>
                <w:w w:val="89"/>
                <w:vertAlign w:val="superscript"/>
              </w:rPr>
              <w:t>(10)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5"/>
                <w:szCs w:val="15"/>
                <w:color w:val="0000FF"/>
              </w:rPr>
              <w:t>09/26/2032</w:t>
            </w:r>
          </w:p>
        </w:tc>
        <w:tc>
          <w:tcPr>
            <w:tcW w:w="172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6"/>
              </w:rPr>
              <w:t>Ordinary Shares</w:t>
            </w:r>
          </w:p>
        </w:tc>
        <w:tc>
          <w:tcPr>
            <w:tcW w:w="88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8"/>
              </w:rPr>
              <w:t>117,755</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3.33</w:t>
            </w:r>
            <w:r>
              <w:rPr>
                <w:rFonts w:ascii="Times New Roman" w:cs="Times New Roman" w:eastAsia="Times New Roman" w:hAnsi="Times New Roman"/>
                <w:sz w:val="25"/>
                <w:szCs w:val="25"/>
                <w:color w:val="008000"/>
                <w:w w:val="89"/>
                <w:vertAlign w:val="superscript"/>
              </w:rPr>
              <w:t>(10)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5"/>
                <w:szCs w:val="15"/>
                <w:color w:val="0000FF"/>
              </w:rPr>
              <w:t>09/26/2032</w:t>
            </w:r>
          </w:p>
        </w:tc>
        <w:tc>
          <w:tcPr>
            <w:tcW w:w="172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6"/>
              </w:rPr>
              <w:t>Ordinary Shares</w:t>
            </w:r>
          </w:p>
        </w:tc>
        <w:tc>
          <w:tcPr>
            <w:tcW w:w="88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4"/>
              </w:rPr>
              <w:t>78,504</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3.33</w:t>
            </w:r>
            <w:r>
              <w:rPr>
                <w:rFonts w:ascii="Times New Roman" w:cs="Times New Roman" w:eastAsia="Times New Roman" w:hAnsi="Times New Roman"/>
                <w:sz w:val="25"/>
                <w:szCs w:val="25"/>
                <w:color w:val="008000"/>
                <w:w w:val="89"/>
                <w:vertAlign w:val="superscript"/>
              </w:rPr>
              <w:t>(10)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5"/>
                <w:szCs w:val="15"/>
                <w:color w:val="0000FF"/>
              </w:rPr>
              <w:t>09/26/2032</w:t>
            </w:r>
          </w:p>
        </w:tc>
        <w:tc>
          <w:tcPr>
            <w:tcW w:w="172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6"/>
              </w:rPr>
              <w:t>Ordinary Shares</w:t>
            </w:r>
          </w:p>
        </w:tc>
        <w:tc>
          <w:tcPr>
            <w:tcW w:w="88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8"/>
              </w:rPr>
              <w:t>117,755</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3.33</w:t>
            </w:r>
            <w:r>
              <w:rPr>
                <w:rFonts w:ascii="Times New Roman" w:cs="Times New Roman" w:eastAsia="Times New Roman" w:hAnsi="Times New Roman"/>
                <w:sz w:val="25"/>
                <w:szCs w:val="25"/>
                <w:color w:val="008000"/>
                <w:w w:val="89"/>
                <w:vertAlign w:val="superscript"/>
              </w:rPr>
              <w:t>(10)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5"/>
                <w:szCs w:val="15"/>
                <w:color w:val="0000FF"/>
              </w:rPr>
              <w:t>09/26/2032</w:t>
            </w:r>
          </w:p>
        </w:tc>
        <w:tc>
          <w:tcPr>
            <w:tcW w:w="172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6"/>
              </w:rPr>
              <w:t>Ordinary Shares</w:t>
            </w:r>
          </w:p>
        </w:tc>
        <w:tc>
          <w:tcPr>
            <w:tcW w:w="88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4"/>
              </w:rPr>
              <w:t>78,504</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3.33</w:t>
            </w:r>
            <w:r>
              <w:rPr>
                <w:rFonts w:ascii="Times New Roman" w:cs="Times New Roman" w:eastAsia="Times New Roman" w:hAnsi="Times New Roman"/>
                <w:sz w:val="25"/>
                <w:szCs w:val="25"/>
                <w:color w:val="008000"/>
                <w:w w:val="89"/>
                <w:vertAlign w:val="superscript"/>
              </w:rPr>
              <w:t>(10)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9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5"/>
                <w:szCs w:val="15"/>
                <w:color w:val="0000FF"/>
              </w:rPr>
              <w:t>09/26/2032</w:t>
            </w:r>
          </w:p>
        </w:tc>
        <w:tc>
          <w:tcPr>
            <w:tcW w:w="172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6"/>
              </w:rPr>
              <w:t>Ordinary Shares</w:t>
            </w:r>
          </w:p>
        </w:tc>
        <w:tc>
          <w:tcPr>
            <w:tcW w:w="88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8"/>
              </w:rPr>
              <w:t>117,755</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3.33</w:t>
            </w:r>
            <w:r>
              <w:rPr>
                <w:rFonts w:ascii="Times New Roman" w:cs="Times New Roman" w:eastAsia="Times New Roman" w:hAnsi="Times New Roman"/>
                <w:sz w:val="25"/>
                <w:szCs w:val="25"/>
                <w:color w:val="008000"/>
                <w:w w:val="89"/>
                <w:vertAlign w:val="superscript"/>
              </w:rPr>
              <w:t>(10)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5"/>
                <w:szCs w:val="15"/>
                <w:color w:val="0000FF"/>
              </w:rPr>
              <w:t>04/30/2033</w:t>
            </w:r>
          </w:p>
        </w:tc>
        <w:tc>
          <w:tcPr>
            <w:tcW w:w="172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6"/>
              </w:rPr>
              <w:t>Ordinary Shares</w:t>
            </w:r>
          </w:p>
        </w:tc>
        <w:tc>
          <w:tcPr>
            <w:tcW w:w="88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4"/>
              </w:rPr>
              <w:t>51,469</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0.0002</w:t>
            </w:r>
            <w:r>
              <w:rPr>
                <w:rFonts w:ascii="Times New Roman" w:cs="Times New Roman" w:eastAsia="Times New Roman" w:hAnsi="Times New Roman"/>
                <w:sz w:val="25"/>
                <w:szCs w:val="25"/>
                <w:color w:val="008000"/>
                <w:w w:val="89"/>
                <w:vertAlign w:val="superscript"/>
              </w:rPr>
              <w:t>(10)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9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5"/>
                <w:szCs w:val="15"/>
                <w:color w:val="0000FF"/>
              </w:rPr>
              <w:t>04/30/2034</w:t>
            </w:r>
          </w:p>
        </w:tc>
        <w:tc>
          <w:tcPr>
            <w:tcW w:w="172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6"/>
              </w:rPr>
              <w:t>Ordinary Shares</w:t>
            </w:r>
          </w:p>
        </w:tc>
        <w:tc>
          <w:tcPr>
            <w:tcW w:w="88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4"/>
              </w:rPr>
              <w:t>41,000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0.0002</w:t>
            </w:r>
            <w:r>
              <w:rPr>
                <w:rFonts w:ascii="Times New Roman" w:cs="Times New Roman" w:eastAsia="Times New Roman" w:hAnsi="Times New Roman"/>
                <w:sz w:val="25"/>
                <w:szCs w:val="25"/>
                <w:color w:val="008000"/>
                <w:w w:val="89"/>
                <w:vertAlign w:val="superscript"/>
              </w:rPr>
              <w:t>(10)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(9)</w:t>
            </w:r>
          </w:p>
        </w:tc>
        <w:tc>
          <w:tcPr>
            <w:tcW w:w="9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5"/>
                <w:szCs w:val="15"/>
                <w:color w:val="0000FF"/>
              </w:rPr>
              <w:t>04/30/2035</w:t>
            </w:r>
          </w:p>
        </w:tc>
        <w:tc>
          <w:tcPr>
            <w:tcW w:w="172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20"/>
                <w:szCs w:val="20"/>
                <w:color w:val="0000FF"/>
                <w:w w:val="96"/>
              </w:rPr>
              <w:t>Ordinary Shares</w:t>
            </w:r>
          </w:p>
        </w:tc>
        <w:tc>
          <w:tcPr>
            <w:tcW w:w="88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4"/>
              </w:rPr>
              <w:t>56,000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0.0002</w:t>
            </w:r>
            <w:r>
              <w:rPr>
                <w:rFonts w:ascii="Times New Roman" w:cs="Times New Roman" w:eastAsia="Times New Roman" w:hAnsi="Times New Roman"/>
                <w:sz w:val="25"/>
                <w:szCs w:val="25"/>
                <w:color w:val="008000"/>
                <w:w w:val="89"/>
                <w:vertAlign w:val="superscript"/>
              </w:rPr>
              <w:t>(10)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jc w:val="both"/>
        <w:ind w:left="40" w:right="1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26, 2022, the Reporting Person was granted 78,504 share options, which will vest once (a) the valuation of the Issuer (based on the 60-day average closing share price of its publicly traded shares) reaches US$2 billion by the fifth anniversary of the date of grant (the "valuation target"), and (b) the Reporting Person remains employed by the Issuer at the time when the valuation target is achieved.</w:t>
      </w:r>
    </w:p>
    <w:p>
      <w:pPr>
        <w:spacing w:after="0" w:line="29" w:lineRule="exact"/>
        <w:rPr>
          <w:rFonts w:ascii="Times New Roman" w:cs="Times New Roman" w:eastAsia="Times New Roman" w:hAnsi="Times New Roman"/>
          <w:sz w:val="15"/>
          <w:szCs w:val="15"/>
          <w:color w:val="008000"/>
        </w:rPr>
      </w:pPr>
    </w:p>
    <w:p>
      <w:pPr>
        <w:ind w:left="40" w:right="1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26, 2022, the Reporting Person was granted 117,755 share options, which will vest once (a) the valuation of the Issuer (based on the 60-day average closing share price of its publicly traded shares) reaches US$2 billion by the fifth anniversary of the date of grant (the "valuation target"), (b) the Reporting Person remains employed by the Issuer at the time when the valuation target is achieved, and (c) the Reporting Person has been employed by the Issuer for five years from the date of grant.</w:t>
      </w:r>
    </w:p>
    <w:p>
      <w:pPr>
        <w:spacing w:after="0" w:line="29" w:lineRule="exact"/>
        <w:rPr>
          <w:rFonts w:ascii="Times New Roman" w:cs="Times New Roman" w:eastAsia="Times New Roman" w:hAnsi="Times New Roman"/>
          <w:sz w:val="15"/>
          <w:szCs w:val="15"/>
          <w:color w:val="008000"/>
        </w:rPr>
      </w:pPr>
    </w:p>
    <w:p>
      <w:pPr>
        <w:jc w:val="both"/>
        <w:ind w:left="40" w:right="1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26, 2022, the Reporting Person was granted 78,504 share options, which will vest once (a) the valuation of the Issuer (based on the 60-day average closing share price of its publicly traded shares) reaches US$4 billion by the seventh anniversary of the date of grant (the "valuation target"), and (b) the Reporting Person remains employed by the Issuer at the time when the valuation target is achieved.</w:t>
      </w:r>
    </w:p>
    <w:p>
      <w:pPr>
        <w:spacing w:after="0" w:line="29" w:lineRule="exact"/>
        <w:rPr>
          <w:rFonts w:ascii="Times New Roman" w:cs="Times New Roman" w:eastAsia="Times New Roman" w:hAnsi="Times New Roman"/>
          <w:sz w:val="15"/>
          <w:szCs w:val="15"/>
          <w:color w:val="008000"/>
        </w:rPr>
      </w:pPr>
    </w:p>
    <w:p>
      <w:pPr>
        <w:ind w:left="40" w:right="1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26, 2022, the Reporting Person was granted 117,755 share options, which will vest once (a) the valuation of the Issuer (based on the 60-day average closing share price of its publicly traded shares) reaches US$4 billion by the seventh anniversary of the date of grant (the "valuation target"), (b) the Reporting Person remains employed by the Issuer at the time when the valuation target is achieved, and (c) the Reporting Person has been employed by the Issuer for five years from the date of grant.</w:t>
      </w:r>
    </w:p>
    <w:p>
      <w:pPr>
        <w:spacing w:after="0" w:line="29" w:lineRule="exact"/>
        <w:rPr>
          <w:rFonts w:ascii="Times New Roman" w:cs="Times New Roman" w:eastAsia="Times New Roman" w:hAnsi="Times New Roman"/>
          <w:sz w:val="15"/>
          <w:szCs w:val="15"/>
          <w:color w:val="008000"/>
        </w:rPr>
      </w:pPr>
    </w:p>
    <w:p>
      <w:pPr>
        <w:jc w:val="both"/>
        <w:ind w:left="40" w:right="2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26, 2022, the Reporting Person was granted 78,504 share options, which will vest once (a) the valuation of the Issuer (based on the 60-day average closing share price of its publicly traded shares) reaches US$10 billion by the seventh anniversary of the date of grants (the "valuation target"), and (b) the Reporting Person remains employed by the Issuer at the time when the valuation target is achieved.</w:t>
      </w:r>
    </w:p>
    <w:p>
      <w:pPr>
        <w:spacing w:after="0" w:line="29"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26, 2022, the Reporting Person was granted 117,755 share options, which will vest once (a) the valuation of the Issuer (based on the 60-day average closing share price of its publicly traded shares) reaches US$10 billion by the seventh anniversary of the date of grants (the "valuation target"), (b) the Reporting Person remains employed by the</w:t>
      </w:r>
    </w:p>
    <w:p>
      <w:pPr>
        <w:sectPr>
          <w:pgSz w:w="11900" w:h="16935"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008000"/>
        </w:rPr>
        <w:t>Issuer at the time when the valuation target is achieved, and (c) the Reporting Person has been employed by the Issuer for five years from the date of grant.</w:t>
      </w:r>
    </w:p>
    <w:p>
      <w:pPr>
        <w:spacing w:after="0" w:line="53" w:lineRule="exact"/>
        <w:rPr>
          <w:sz w:val="20"/>
          <w:szCs w:val="20"/>
          <w:color w:val="auto"/>
        </w:rPr>
      </w:pPr>
    </w:p>
    <w:p>
      <w:pPr>
        <w:ind w:right="10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April 30, 2023, the Reporting Person was granted 102,938 share options, with 50%, 25% and 25% of the granted share options vesting on January 1, 2025, January 1, 2026 and January 1, 2027, respectively, subject to: (a) the Reporting Person's continued employment, and (b) the annual performance rating of the Reporting Person reaching at least 3.3 for each year from 2023 to 2026.</w:t>
      </w:r>
    </w:p>
    <w:p>
      <w:pPr>
        <w:spacing w:after="0" w:line="29" w:lineRule="exact"/>
        <w:rPr>
          <w:rFonts w:ascii="Times New Roman" w:cs="Times New Roman" w:eastAsia="Times New Roman" w:hAnsi="Times New Roman"/>
          <w:sz w:val="15"/>
          <w:szCs w:val="15"/>
          <w:color w:val="008000"/>
        </w:rPr>
      </w:pPr>
    </w:p>
    <w:p>
      <w:pPr>
        <w:ind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April 30, 2024, the Reporting Person was granted 41,000 share options, with 50%, 25% and 25% of the granted share options vesting on January 1, 2026, January 1, 2027 and January 1, 2028, respectively, subject to: (a) the Reporting Person's continued employment, and (b) the annual performance rating of the Reporting Person reaching at least 3.3 for the year of 2024.</w:t>
      </w:r>
    </w:p>
    <w:p>
      <w:pPr>
        <w:spacing w:after="0" w:line="29" w:lineRule="exact"/>
        <w:rPr>
          <w:rFonts w:ascii="Times New Roman" w:cs="Times New Roman" w:eastAsia="Times New Roman" w:hAnsi="Times New Roman"/>
          <w:sz w:val="15"/>
          <w:szCs w:val="15"/>
          <w:color w:val="008000"/>
        </w:rPr>
      </w:pPr>
    </w:p>
    <w:p>
      <w:pPr>
        <w:ind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April 30, 2025, the Reporting Person was granted 56,000 share options, with 50%, 25% and 25% on of the granted share options vesting January 1, 2027, January 1, 2028 and January 1, 2029, respectively, subject to: (a) the Reporting Person's continued employment, and (b) the annual performance rating of the Reporting Person reaching at least 3.3 for the year of 2025.</w:t>
      </w:r>
    </w:p>
    <w:p>
      <w:pPr>
        <w:spacing w:after="0" w:line="29" w:lineRule="exact"/>
        <w:rPr>
          <w:rFonts w:ascii="Times New Roman" w:cs="Times New Roman" w:eastAsia="Times New Roman" w:hAnsi="Times New Roman"/>
          <w:sz w:val="15"/>
          <w:szCs w:val="15"/>
          <w:color w:val="008000"/>
        </w:rPr>
      </w:pPr>
    </w:p>
    <w:p>
      <w:pPr>
        <w:ind w:left="240" w:hanging="235"/>
        <w:spacing w:after="0"/>
        <w:tabs>
          <w:tab w:leader="none" w:pos="24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option represents the right to receive, upon exercise, one ordinary share.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Yuheng Huang,</w:t>
            </w:r>
          </w:p>
        </w:tc>
        <w:tc>
          <w:tcPr>
            <w:tcW w:w="74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03/17/2026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Zhihong Zhang</w:t>
            </w: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20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20" w:top="125" w:right="519" w:bottom="1440" w:gutter="0" w:footer="0" w:header="0"/>
        </w:sectPr>
      </w:pPr>
    </w:p>
    <w:bookmarkStart w:id="2" w:name="page3"/>
    <w:bookmarkEnd w:id="2"/>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99" w:lineRule="exact"/>
        <w:rPr>
          <w:sz w:val="20"/>
          <w:szCs w:val="20"/>
          <w:color w:val="auto"/>
        </w:rPr>
      </w:pPr>
    </w:p>
    <w:p>
      <w:pPr>
        <w:ind w:left="80" w:right="20" w:firstLine="923"/>
        <w:spacing w:after="0" w:line="249"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Yanli Xu, Dongyue Zheng, Yuheng Huang and Kaiyan Chen acting singly, and with full power of substitution or revocation,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98" w:lineRule="exact"/>
        <w:rPr>
          <w:sz w:val="20"/>
          <w:szCs w:val="20"/>
          <w:color w:val="auto"/>
        </w:rPr>
      </w:pPr>
    </w:p>
    <w:p>
      <w:pPr>
        <w:jc w:val="both"/>
        <w:ind w:left="800" w:right="20" w:hanging="345"/>
        <w:spacing w:after="0" w:line="247" w:lineRule="auto"/>
        <w:tabs>
          <w:tab w:leader="none" w:pos="80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and submit to the SEC, and/or any national securities exchange on which Burning Rock Biotech Limited (the “Company”) securities are listed, any and all reports (including any amendments thereto) the undersigned is required to file with the SEC under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213" w:lineRule="exact"/>
        <w:rPr>
          <w:rFonts w:ascii="Times New Roman" w:cs="Times New Roman" w:eastAsia="Times New Roman" w:hAnsi="Times New Roman"/>
          <w:sz w:val="21"/>
          <w:szCs w:val="21"/>
          <w:color w:val="auto"/>
        </w:rPr>
      </w:pPr>
    </w:p>
    <w:p>
      <w:pPr>
        <w:jc w:val="both"/>
        <w:ind w:left="800" w:right="20" w:hanging="345"/>
        <w:spacing w:after="0" w:line="249" w:lineRule="auto"/>
        <w:tabs>
          <w:tab w:leader="none" w:pos="80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The undersigned acknowledges that:</w:t>
      </w:r>
    </w:p>
    <w:p>
      <w:pPr>
        <w:spacing w:after="0" w:line="254" w:lineRule="exact"/>
        <w:rPr>
          <w:sz w:val="20"/>
          <w:szCs w:val="20"/>
          <w:color w:val="auto"/>
        </w:rPr>
      </w:pPr>
    </w:p>
    <w:p>
      <w:pPr>
        <w:ind w:left="800" w:right="20" w:hanging="345"/>
        <w:spacing w:after="0" w:line="272" w:lineRule="auto"/>
        <w:tabs>
          <w:tab w:leader="none" w:pos="80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authorizes, but does not require, the Attorney-in-Fact to act in his or her discretion on information provided to such Attorney-in-Fact without independent verification of such information;</w:t>
      </w:r>
    </w:p>
    <w:p>
      <w:pPr>
        <w:spacing w:after="0" w:line="187" w:lineRule="exact"/>
        <w:rPr>
          <w:rFonts w:ascii="Times New Roman" w:cs="Times New Roman" w:eastAsia="Times New Roman" w:hAnsi="Times New Roman"/>
          <w:sz w:val="21"/>
          <w:szCs w:val="21"/>
          <w:color w:val="auto"/>
        </w:rPr>
      </w:pPr>
    </w:p>
    <w:p>
      <w:pPr>
        <w:jc w:val="both"/>
        <w:ind w:left="800" w:right="20" w:hanging="345"/>
        <w:spacing w:after="0" w:line="255" w:lineRule="auto"/>
        <w:tabs>
          <w:tab w:leader="none" w:pos="80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0" w:lineRule="exact"/>
        <w:rPr>
          <w:rFonts w:ascii="Times New Roman" w:cs="Times New Roman" w:eastAsia="Times New Roman" w:hAnsi="Times New Roman"/>
          <w:sz w:val="21"/>
          <w:szCs w:val="21"/>
          <w:color w:val="auto"/>
        </w:rPr>
      </w:pPr>
    </w:p>
    <w:p>
      <w:pPr>
        <w:jc w:val="both"/>
        <w:ind w:left="800" w:right="20" w:hanging="345"/>
        <w:spacing w:after="0" w:line="249" w:lineRule="auto"/>
        <w:tabs>
          <w:tab w:leader="none" w:pos="80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1"/>
          <w:szCs w:val="21"/>
          <w:color w:val="auto"/>
        </w:rPr>
      </w:pPr>
    </w:p>
    <w:p>
      <w:pPr>
        <w:jc w:val="both"/>
        <w:ind w:left="800" w:right="20" w:hanging="345"/>
        <w:spacing w:after="0" w:line="255" w:lineRule="auto"/>
        <w:tabs>
          <w:tab w:leader="none" w:pos="80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66" w:lineRule="exact"/>
        <w:rPr>
          <w:sz w:val="20"/>
          <w:szCs w:val="20"/>
          <w:color w:val="auto"/>
        </w:rPr>
      </w:pPr>
    </w:p>
    <w:p>
      <w:pPr>
        <w:jc w:val="both"/>
        <w:ind w:left="80" w:right="40" w:firstLine="973"/>
        <w:spacing w:after="0" w:line="247" w:lineRule="auto"/>
        <w:rPr>
          <w:sz w:val="20"/>
          <w:szCs w:val="20"/>
          <w:color w:val="auto"/>
        </w:rPr>
      </w:pPr>
      <w:r>
        <w:rPr>
          <w:rFonts w:ascii="Times New Roman" w:cs="Times New Roman" w:eastAsia="Times New Roman" w:hAnsi="Times New Roman"/>
          <w:sz w:val="21"/>
          <w:szCs w:val="21"/>
          <w:color w:val="auto"/>
        </w:rPr>
        <w:t>The undersigned hereby grants to the Attorney-in-Fact full power and authority to do and perform any and every act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73" w:lineRule="exact"/>
        <w:rPr>
          <w:sz w:val="20"/>
          <w:szCs w:val="20"/>
          <w:color w:val="auto"/>
        </w:rPr>
      </w:pPr>
    </w:p>
    <w:p>
      <w:pPr>
        <w:ind w:left="80" w:firstLine="923"/>
        <w:spacing w:after="0" w:line="249"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554990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800"/>
          </w:cols>
          <w:pgMar w:left="520" w:top="1440" w:right="579" w:bottom="1440" w:gutter="0" w:footer="0" w:header="0"/>
        </w:sectPr>
      </w:pPr>
    </w:p>
    <w:bookmarkStart w:id="3" w:name="page4"/>
    <w:bookmarkEnd w:id="3"/>
    <w:p>
      <w:pPr>
        <w:spacing w:after="0" w:line="305"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March 17,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Zhihong Zhang</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Signature: /s/ Zhihong Zhang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564515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7"/>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4639" TargetMode="External"/><Relationship Id="rId11" Type="http://schemas.openxmlformats.org/officeDocument/2006/relationships/hyperlink" Target="http://www.sec.gov/cgi-bin/browse-edgar?action=getcompany&amp;CIK=00017922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2026-03-17T09:02:56Z</dcterms:created>
  <dcterms:modified xsi:type="dcterms:W3CDTF">2026-03-17T09:02:56Z</dcterms:modified>
</cp:coreProperties>
</file>