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1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160" w:right="114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001-39316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43"/>
          <w:szCs w:val="43"/>
          <w:b w:val="1"/>
          <w:bCs w:val="1"/>
          <w:color w:val="auto"/>
        </w:rPr>
        <w:t>BURNING ROCK BIOTECH LIMITED</w:t>
      </w:r>
    </w:p>
    <w:p>
      <w:pPr>
        <w:spacing w:after="0" w:line="58"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No.5 Xingdao Ring Road North, International Bio Island</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Guangzhou, Guangdong</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2"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20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197485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240665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jc w:val="center"/>
        <w:ind w:right="-2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INCORPORATION BY REFERENCE</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Exhibit 99.1 (excluding the paragraphs under the heading “Non-GAAP Measures,” the table under the heading “Burning Rock Biotech Limited Reconciliations of GAAP and Non-GAAP Results,” and other discussions on non-GAAP measures therein) of this current report on Form 6-K (the “Report”) shall be incorporated by reference into the Company’s registration statements on Form F-3, which became effective on September 30, 2022 (File no. 333-264577).</w:t>
      </w:r>
    </w:p>
    <w:p>
      <w:pPr>
        <w:spacing w:after="0" w:line="1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780"/>
          </w:cols>
          <w:pgMar w:left="440" w:top="266" w:right="67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INDEX</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20" w:type="dxa"/>
            <w:vAlign w:val="bottom"/>
          </w:tcPr>
          <w:p>
            <w:pPr>
              <w:spacing w:after="0"/>
              <w:rPr>
                <w:sz w:val="15"/>
                <w:szCs w:val="15"/>
                <w:color w:val="auto"/>
              </w:rPr>
            </w:pPr>
          </w:p>
        </w:tc>
        <w:tc>
          <w:tcPr>
            <w:tcW w:w="1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r>
      <w:tr>
        <w:trPr>
          <w:trHeight w:val="270"/>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99.1</w:t>
            </w:r>
          </w:p>
        </w:tc>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Press release</w:t>
            </w:r>
          </w:p>
        </w:tc>
      </w:tr>
      <w:tr>
        <w:trPr>
          <w:trHeight w:val="20"/>
        </w:trPr>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bl>
    <w:p>
      <w:pPr>
        <w:spacing w:after="0" w:line="15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019"/>
          </w:cols>
          <w:pgMar w:left="440" w:top="266"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Burning Rock Biotech Limited</w:t>
      </w:r>
    </w:p>
    <w:p>
      <w:pPr>
        <w:spacing w:after="0" w:line="266" w:lineRule="exact"/>
        <w:rPr>
          <w:sz w:val="20"/>
          <w:szCs w:val="20"/>
          <w:color w:val="auto"/>
        </w:rPr>
      </w:pPr>
    </w:p>
    <w:tbl>
      <w:tblPr>
        <w:tblLayout w:type="fixed"/>
        <w:tblInd w:w="552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Yusheng Han</w:t>
            </w:r>
          </w:p>
        </w:tc>
      </w:tr>
      <w:tr>
        <w:trPr>
          <w:trHeight w:val="205"/>
        </w:trPr>
        <w:tc>
          <w:tcPr>
            <w:tcW w:w="6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Yusheng Han</w:t>
            </w:r>
          </w:p>
        </w:tc>
      </w:t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9, 2026</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66"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Burning Rock Reports First Quarter 2026 Financial Results</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GUANGZHOU, China, June 9, 2026—Burning Rock Biotech Limited (NASDAQ: BNR, the “Company” or “Burning Rock”), a company focused on the application of next-generation sequencing (NGS) technology in the field of precision oncology, today reported financial results for the three months ended March 31, 2026.</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Business Updates</w:t>
      </w:r>
    </w:p>
    <w:p>
      <w:pPr>
        <w:spacing w:after="0" w:line="135" w:lineRule="exact"/>
        <w:rPr>
          <w:sz w:val="20"/>
          <w:szCs w:val="20"/>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Early Detection, Therapy Selection &amp; MRD</w:t>
      </w:r>
    </w:p>
    <w:p>
      <w:pPr>
        <w:spacing w:after="0" w:line="130" w:lineRule="exact"/>
        <w:rPr>
          <w:rFonts w:ascii="Times New Roman" w:cs="Times New Roman" w:eastAsia="Times New Roman" w:hAnsi="Times New Roman"/>
          <w:sz w:val="18"/>
          <w:szCs w:val="18"/>
          <w:color w:val="auto"/>
        </w:rPr>
      </w:pPr>
    </w:p>
    <w:p>
      <w:pPr>
        <w:ind w:left="1420" w:right="20" w:hanging="331"/>
        <w:spacing w:after="0" w:line="282" w:lineRule="auto"/>
        <w:tabs>
          <w:tab w:leader="none" w:pos="142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Presented multiple study results at the 2026 AACR in April, showcasing validation data on MMcall, CanCatch Surf, 25-plex ddPCR, and SPIRAL.</w:t>
      </w:r>
    </w:p>
    <w:p>
      <w:pPr>
        <w:spacing w:after="0" w:line="65" w:lineRule="exact"/>
        <w:rPr>
          <w:rFonts w:ascii="Times New Roman" w:cs="Times New Roman" w:eastAsia="Times New Roman" w:hAnsi="Times New Roman"/>
          <w:sz w:val="18"/>
          <w:szCs w:val="18"/>
          <w:color w:val="auto"/>
        </w:rPr>
      </w:pPr>
    </w:p>
    <w:p>
      <w:pPr>
        <w:ind w:left="1420" w:right="120" w:hanging="331"/>
        <w:spacing w:after="0" w:line="267" w:lineRule="auto"/>
        <w:tabs>
          <w:tab w:leader="none" w:pos="142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Presented study results at </w:t>
      </w:r>
      <w:r>
        <w:rPr>
          <w:rFonts w:ascii="Times New Roman" w:cs="Times New Roman" w:eastAsia="Times New Roman" w:hAnsi="Times New Roman"/>
          <w:sz w:val="18"/>
          <w:szCs w:val="18"/>
          <w:i w:val="1"/>
          <w:iCs w:val="1"/>
          <w:color w:val="auto"/>
        </w:rPr>
        <w:t>Journal for ImmunoTherapy of Cancer</w:t>
      </w:r>
      <w:r>
        <w:rPr>
          <w:rFonts w:ascii="Times New Roman" w:cs="Times New Roman" w:eastAsia="Times New Roman" w:hAnsi="Times New Roman"/>
          <w:sz w:val="18"/>
          <w:szCs w:val="18"/>
          <w:color w:val="auto"/>
        </w:rPr>
        <w:t xml:space="preserve"> in April 2026. “A four-cycle perioperative regimen of serplulimab combined with taxane-carboplatin demonstrated promising MPR and pCR rates with an acceptable safety profile in patients with resectable sq-NSCLC.”</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2026 Financial Results</w:t>
      </w:r>
    </w:p>
    <w:p>
      <w:pPr>
        <w:spacing w:after="0" w:line="121" w:lineRule="exact"/>
        <w:rPr>
          <w:sz w:val="20"/>
          <w:szCs w:val="20"/>
          <w:color w:val="auto"/>
        </w:rPr>
      </w:pPr>
    </w:p>
    <w:p>
      <w:pPr>
        <w:ind w:right="1220"/>
        <w:spacing w:after="0" w:line="282" w:lineRule="auto"/>
        <w:rPr>
          <w:sz w:val="20"/>
          <w:szCs w:val="20"/>
          <w:color w:val="auto"/>
        </w:rPr>
      </w:pPr>
      <w:r>
        <w:rPr>
          <w:rFonts w:ascii="Times New Roman" w:cs="Times New Roman" w:eastAsia="Times New Roman" w:hAnsi="Times New Roman"/>
          <w:sz w:val="18"/>
          <w:szCs w:val="18"/>
          <w:color w:val="auto"/>
        </w:rPr>
        <w:t>Revenues were RMB107.9 million (US$15.6 million) for the three months ended March 31, 2026, representing an 18.9% decrease from RMB133.1 million for the same period in 2025.</w:t>
      </w:r>
    </w:p>
    <w:p>
      <w:pPr>
        <w:spacing w:after="0" w:line="67" w:lineRule="exact"/>
        <w:rPr>
          <w:sz w:val="20"/>
          <w:szCs w:val="20"/>
          <w:color w:val="auto"/>
        </w:rPr>
      </w:pPr>
    </w:p>
    <w:p>
      <w:pPr>
        <w:ind w:left="960" w:right="180" w:hanging="424"/>
        <w:spacing w:after="0" w:line="266"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generated from central laboratory business was RMB32.3 million (US$4.7 million) for the three months ended March 31, 2026, representing a 15.3% decrease from RMB38.3 million for the same period in 2025, primarily attributable to a decrease in the number of tests, as we continued our transition towards in-hospital testing.</w:t>
      </w:r>
    </w:p>
    <w:p>
      <w:pPr>
        <w:spacing w:after="0" w:line="81" w:lineRule="exact"/>
        <w:rPr>
          <w:rFonts w:ascii="Times New Roman" w:cs="Times New Roman" w:eastAsia="Times New Roman" w:hAnsi="Times New Roman"/>
          <w:sz w:val="18"/>
          <w:szCs w:val="18"/>
          <w:color w:val="auto"/>
        </w:rPr>
      </w:pPr>
    </w:p>
    <w:p>
      <w:pPr>
        <w:ind w:left="960" w:hanging="424"/>
        <w:spacing w:after="0" w:line="261"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generated from in-hospital business was RMB52.8 million (US$7.6 million) for the three months ended March 31, 2026, representing an 8.5% decrease from RMB57.7 million for the same period in 2025, primarily attributable to a decrease in revenue from two hospitals due to one-off issue. Excluding such two, in-hospital revenue for the three months ended March 31, 2026 would have increased by 2% year-over-year.</w:t>
      </w:r>
    </w:p>
    <w:p>
      <w:pPr>
        <w:spacing w:after="0" w:line="85" w:lineRule="exact"/>
        <w:rPr>
          <w:rFonts w:ascii="Times New Roman" w:cs="Times New Roman" w:eastAsia="Times New Roman" w:hAnsi="Times New Roman"/>
          <w:sz w:val="18"/>
          <w:szCs w:val="18"/>
          <w:color w:val="auto"/>
        </w:rPr>
      </w:pPr>
    </w:p>
    <w:p>
      <w:pPr>
        <w:ind w:left="960" w:right="160" w:hanging="424"/>
        <w:spacing w:after="0" w:line="261"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generated from pharma research and development services was RMB22.8 million (US$3.3 million) for the three months ended March 31, 2026, representing a 38.6% decrease from RMB37.1 million for the same period in 2025, primarily attributable to decreased testing services performed for our pharma customers and lower milestone progress of our pharma programs achieved due to timing of the projects.</w:t>
      </w:r>
    </w:p>
    <w:p>
      <w:pPr>
        <w:spacing w:after="0" w:line="180" w:lineRule="exact"/>
        <w:rPr>
          <w:sz w:val="20"/>
          <w:szCs w:val="20"/>
          <w:color w:val="auto"/>
        </w:rPr>
      </w:pPr>
    </w:p>
    <w:p>
      <w:pPr>
        <w:ind w:right="1060"/>
        <w:spacing w:after="0" w:line="282" w:lineRule="auto"/>
        <w:rPr>
          <w:sz w:val="20"/>
          <w:szCs w:val="20"/>
          <w:color w:val="auto"/>
        </w:rPr>
      </w:pPr>
      <w:r>
        <w:rPr>
          <w:rFonts w:ascii="Times New Roman" w:cs="Times New Roman" w:eastAsia="Times New Roman" w:hAnsi="Times New Roman"/>
          <w:sz w:val="18"/>
          <w:szCs w:val="18"/>
          <w:color w:val="auto"/>
        </w:rPr>
        <w:t>Cost of revenues was RMB29.9 million (US$4.3 million) for the three months ended March 31, 2026, representing a 16.1% decrease from RMB35.7 million for the same period in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 was RMB78.0 million (US$11.3 million) for the three months ended March 31, 2026, representing a 19.9% decrease from</w:t>
      </w:r>
    </w:p>
    <w:p>
      <w:pPr>
        <w:spacing w:after="0" w:line="27"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RMB97.4 million for the same period in 2025. Gross margin was 72.3% for the three months ended March 31, 2026, compared to 73.2% for the same period in 2025. By channel, gross margin of central laboratory business was 88.7% for the three months ended March 31, 2026, compared to 84.1% during the same period in 2025, primarily driven by a reduction in inventory write-downs; gross margin of in-hospital business was 72.9% for the three months ended March 31, 2026, compared to 76.1% during the same period in 2025, primarily attributable to a decrease in sales volume to high margin products; gross margin of pharma research and development services was 47.4% for the three months ended March 31, 2026, compared to 57.5% during the same period of 2025, primarily due to a decrease in test volume of higher-margin projects.</w:t>
      </w:r>
    </w:p>
    <w:p>
      <w:pPr>
        <w:spacing w:after="0" w:line="19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Non-GAAP gross profit, which excludes depreciation and amortization expenses, was RMB80.5 million (US$11.7 million) for the three months ended March 31, 2026, representing a 20.0% decrease from RMB100.7 million for the same period in 2025. Non-GAAP gross margin was 74.6% for the three months ended March 31, 2026, compared to 75.6% for the same period in 2025. For more details on these non-GAAP financial measures, please see the table captioned “Reconciliations of GAAP and Non-GAAP Results” set forth at the end of this press release.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5" w:name="page6"/>
    <w:bookmarkEnd w:id="5"/>
    <w:p>
      <w:pPr>
        <w:jc w:val="both"/>
        <w:ind w:right="6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Operating expenses were RMB96.9 million (US$14.1 million) for the three months ended March 31, 2026, representing a 14.0% decrease from RMB112.6 million for the same period in 2025. The decrease was primarily driven by business cost and payment collection control to improve operating efficiency.</w:t>
      </w:r>
    </w:p>
    <w:p>
      <w:pPr>
        <w:spacing w:after="0" w:line="81" w:lineRule="exact"/>
        <w:rPr>
          <w:sz w:val="20"/>
          <w:szCs w:val="20"/>
          <w:color w:val="auto"/>
        </w:rPr>
      </w:pPr>
    </w:p>
    <w:p>
      <w:pPr>
        <w:ind w:left="960" w:right="100" w:hanging="424"/>
        <w:spacing w:after="0" w:line="266"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expenses were RMB27.6 million (US$4.0 million) for the three months ended March 31, 2026, representing a 31.8% decrease from RMB40.4 million for the same period in 2025, primarily due to (i) a temporary decrease across different research phases, and (ii) a decrease in amortized expense on share-based compensation.</w:t>
      </w:r>
    </w:p>
    <w:p>
      <w:pPr>
        <w:spacing w:after="0" w:line="81" w:lineRule="exact"/>
        <w:rPr>
          <w:rFonts w:ascii="Times New Roman" w:cs="Times New Roman" w:eastAsia="Times New Roman" w:hAnsi="Times New Roman"/>
          <w:sz w:val="18"/>
          <w:szCs w:val="18"/>
          <w:color w:val="auto"/>
        </w:rPr>
      </w:pPr>
    </w:p>
    <w:p>
      <w:pPr>
        <w:ind w:left="96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and marketing expenses were RMB41.2 million (US$6.0 million) for the three months ended March 31, 2026, remaining relatively stable as compared with RMB40.9 million for the same period in 2025.</w:t>
      </w:r>
    </w:p>
    <w:p>
      <w:pPr>
        <w:spacing w:after="0" w:line="67" w:lineRule="exact"/>
        <w:rPr>
          <w:rFonts w:ascii="Times New Roman" w:cs="Times New Roman" w:eastAsia="Times New Roman" w:hAnsi="Times New Roman"/>
          <w:sz w:val="18"/>
          <w:szCs w:val="18"/>
          <w:color w:val="auto"/>
        </w:rPr>
      </w:pPr>
    </w:p>
    <w:p>
      <w:pPr>
        <w:ind w:left="960" w:right="80" w:hanging="424"/>
        <w:spacing w:after="0" w:line="266"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expenses were RMB28.1 million (US$4.1 million) for the three months ended March 31, 2026, representing a 10.3% decrease from RMB31.3 million for the same period in 2025, primarily due to a decrease in impairment expenses for accounts receivables and contract assets.</w:t>
      </w:r>
    </w:p>
    <w:p>
      <w:pPr>
        <w:spacing w:after="0" w:line="17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Net loss was RMB17.5 million (US$2.5 million) for the three months ended March 31, 2026, compared to RMB13.5 million for the same period in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cash equivalents and restricted cash were RMB448.7 million (US$65.1 million) as of March 31, 2026.</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0"/>
          </w:cols>
          <w:pgMar w:left="440" w:top="270" w:right="4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Exchange Rate Information</w:t>
      </w:r>
    </w:p>
    <w:p>
      <w:pPr>
        <w:spacing w:after="0" w:line="121"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7"/>
          <w:szCs w:val="17"/>
          <w:color w:val="auto"/>
        </w:rPr>
        <w:t>This press release contains translations of certain Renminbi amounts into U.S. dollars at a specified rate solely for the convenience of the reader. Unless otherwise noted, all translations from Renminbi to U.S. dollars and from U.S. dollars to Renminbi are made at a rate of RMB6.8980 to US$1.00, the exchange rate on March 31, 2026, set forth in the H.10 statistical release of the Federal Reserve Board. The Company makes no representation that the Renminbi or U.S. dollars amounts referred could be converted into U.S. dollars or Renminbi, as the case may be, at any particular rate or at all.</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Burning Rock</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Burning Rock Biotech Limited (NASDAQ: BNR), whose mission is to guard life via science, focuses on the application of next generation sequencing (NGS) technology in the field of precision oncology. Its business consists of i) NGS-based therapy selection testing for late-stage cancer patients, and ii) cancer early detection, which has moved beyond proof-of-concept R&amp;D into the clinical validation stage.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about Burning Rock, please visit: ir.brbiotech.com.</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These statements constitute “forward-looking” statements within the meaning of Section 21E of the Securities Exchange Act of 1934, as amended, and as defined in the U.S. Private Securities Litigation Reform Act of 1995. These forward-looking statements can be identified by terminology such as “will,” “expects,” “anticipates,” “future,” “intends,” “plans,” “believes,” “estimates,” “target,” “confident” and similar statements. Burning Rock may also make written or oral forward-looking statements in its periodic reports to the SEC, in its annual report to shareholders, in press releases and other written materials and in oral statements made by its officers, directors or employees to third parties. Statements that are not historical facts, including statements about Burning Rock’s beliefs and expectations, are forward-looking statements. Such statements are based upon management’s current expectations and current market and operating conditions, and relate to events that involve known or unknown risks, uncertainties and other factors, all of which are difficult to predict and many of which are beyond Burning Rock’s control. Forward-looking statements involve risks, uncertainties and other factors that could cause actual results to differ materially from those contained in any such statements. All information provided in this press release is as of the date of this press release, and Burning Rock does not undertake any obligation to update any forward-looking statement as a result of new information, future events or otherwise, except as required under applicable law.</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6"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Non-GAAP Measures</w:t>
      </w:r>
    </w:p>
    <w:p>
      <w:pPr>
        <w:spacing w:after="0" w:line="121"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In evaluating the business, the Company considers and uses non-GAAP measures, such as non-GAAP gross profit and non-GAAP gross margin, as supplemental measures to review and assess operating performance and formulate business plans. However, the presentation of these non-GAAP financial measures is not intended to be considered in isolation or as a substitute for the financial information prepared and presented in accordance with accounting principles generally accepted in the United States of America (“U.S. GAAP”). These non-GAAP financial measures may be different from non-GAAP methods of accounting and reporting used by other companies, including peer companies, and therefore their comparability may be limited.</w:t>
      </w:r>
    </w:p>
    <w:p>
      <w:pPr>
        <w:spacing w:after="0" w:line="16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defines non-GAAP gross profit as gross profit excluding depreciation and amortization. The Company defines non-GAAP gross margin as non-GAAP gross profit divided by its revenue.</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believes presenting non-GAAP gross profit and non-GAAP gross margin excluding non-cash impact of depreciation and amortization, in addition to the Company’s GAAP gross profit and gross margin, provides a better understanding of the underlying trends in the Company’s operating business performance.</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Reconciliation of these non-GAAP financial measures to the most directly comparable U.S. GAAP measures are set forth at the end of this press release, all of which should be considered when evaluating the Company’s performance.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Contact: IR@brbiotech.com</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66" w:right="459" w:bottom="1440" w:gutter="0" w:footer="0" w:header="0"/>
        </w:sectPr>
      </w:pPr>
    </w:p>
    <w:bookmarkStart w:id="8" w:name="page9"/>
    <w:bookmarkEnd w:id="8"/>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Selected Operating Data</w:t>
      </w:r>
    </w:p>
    <w:p>
      <w:pPr>
        <w:spacing w:after="0" w:line="250"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592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6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17"/>
        </w:trPr>
        <w:tc>
          <w:tcPr>
            <w:tcW w:w="5920" w:type="dxa"/>
            <w:vAlign w:val="bottom"/>
          </w:tcPr>
          <w:p>
            <w:pPr>
              <w:spacing w:after="0"/>
              <w:rPr>
                <w:sz w:val="10"/>
                <w:szCs w:val="10"/>
                <w:color w:val="auto"/>
              </w:rPr>
            </w:pPr>
          </w:p>
        </w:tc>
        <w:tc>
          <w:tcPr>
            <w:tcW w:w="1120" w:type="dxa"/>
            <w:vAlign w:val="bottom"/>
            <w:gridSpan w:val="2"/>
          </w:tcPr>
          <w:p>
            <w:pPr>
              <w:jc w:val="right"/>
              <w:ind w:right="48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000" w:type="dxa"/>
            <w:vAlign w:val="bottom"/>
            <w:gridSpan w:val="2"/>
          </w:tcPr>
          <w:p>
            <w:pPr>
              <w:jc w:val="right"/>
              <w:ind w:right="48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160" w:type="dxa"/>
            <w:vAlign w:val="bottom"/>
            <w:gridSpan w:val="2"/>
          </w:tcPr>
          <w:p>
            <w:pPr>
              <w:jc w:val="right"/>
              <w:ind w:right="480"/>
              <w:spacing w:after="0" w:line="118" w:lineRule="exact"/>
              <w:rPr>
                <w:sz w:val="20"/>
                <w:szCs w:val="20"/>
                <w:color w:val="auto"/>
              </w:rPr>
            </w:pPr>
            <w:r>
              <w:rPr>
                <w:rFonts w:ascii="Times New Roman" w:cs="Times New Roman" w:eastAsia="Times New Roman" w:hAnsi="Times New Roman"/>
                <w:sz w:val="13"/>
                <w:szCs w:val="13"/>
                <w:b w:val="1"/>
                <w:bCs w:val="1"/>
                <w:color w:val="auto"/>
              </w:rPr>
              <w:t>September</w:t>
            </w:r>
          </w:p>
        </w:tc>
        <w:tc>
          <w:tcPr>
            <w:tcW w:w="1120" w:type="dxa"/>
            <w:vAlign w:val="bottom"/>
            <w:gridSpan w:val="2"/>
          </w:tcPr>
          <w:p>
            <w:pPr>
              <w:jc w:val="right"/>
              <w:ind w:right="480"/>
              <w:spacing w:after="0" w:line="118" w:lineRule="exact"/>
              <w:rPr>
                <w:sz w:val="20"/>
                <w:szCs w:val="20"/>
                <w:color w:val="auto"/>
              </w:rPr>
            </w:pPr>
            <w:r>
              <w:rPr>
                <w:rFonts w:ascii="Times New Roman" w:cs="Times New Roman" w:eastAsia="Times New Roman" w:hAnsi="Times New Roman"/>
                <w:sz w:val="13"/>
                <w:szCs w:val="13"/>
                <w:b w:val="1"/>
                <w:bCs w:val="1"/>
                <w:color w:val="auto"/>
              </w:rPr>
              <w:t>December</w:t>
            </w:r>
          </w:p>
        </w:tc>
        <w:tc>
          <w:tcPr>
            <w:tcW w:w="6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60" w:type="dxa"/>
            <w:vAlign w:val="bottom"/>
          </w:tcPr>
          <w:p>
            <w:pPr>
              <w:spacing w:after="0"/>
              <w:rPr>
                <w:sz w:val="10"/>
                <w:szCs w:val="10"/>
                <w:color w:val="auto"/>
              </w:rPr>
            </w:pPr>
          </w:p>
        </w:tc>
      </w:tr>
      <w:tr>
        <w:trPr>
          <w:trHeight w:val="173"/>
        </w:trPr>
        <w:tc>
          <w:tcPr>
            <w:tcW w:w="592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30, 2025</w:t>
            </w:r>
          </w:p>
        </w:tc>
        <w:tc>
          <w:tcPr>
            <w:tcW w:w="48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31, 2025</w:t>
            </w:r>
          </w:p>
        </w:tc>
        <w:tc>
          <w:tcPr>
            <w:tcW w:w="48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Borders>
              <w:bottom w:val="single" w:sz="8" w:color="CCEEFF"/>
            </w:tcBorders>
          </w:tcPr>
          <w:p>
            <w:pPr>
              <w:spacing w:after="0"/>
              <w:rPr>
                <w:sz w:val="15"/>
                <w:szCs w:val="15"/>
                <w:color w:val="auto"/>
              </w:rPr>
            </w:pPr>
          </w:p>
        </w:tc>
      </w:tr>
      <w:tr>
        <w:trPr>
          <w:trHeight w:val="196"/>
        </w:trPr>
        <w:tc>
          <w:tcPr>
            <w:tcW w:w="59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In-hospital channel:</w:t>
            </w:r>
          </w:p>
        </w:tc>
        <w:tc>
          <w:tcPr>
            <w:tcW w:w="6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59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Pipeline partner hospitals</w:t>
            </w:r>
            <w:r>
              <w:rPr>
                <w:rFonts w:ascii="Times New Roman" w:cs="Times New Roman" w:eastAsia="Times New Roman" w:hAnsi="Times New Roman"/>
                <w:sz w:val="25"/>
                <w:szCs w:val="25"/>
                <w:color w:val="auto"/>
                <w:vertAlign w:val="superscript"/>
              </w:rPr>
              <w:t>(1)</w:t>
            </w: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30</w:t>
            </w:r>
          </w:p>
        </w:tc>
        <w:tc>
          <w:tcPr>
            <w:tcW w:w="10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30</w:t>
            </w: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31</w:t>
            </w: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30</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59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Contracted partner hospitals</w:t>
            </w:r>
            <w:r>
              <w:rPr>
                <w:rFonts w:ascii="Times New Roman" w:cs="Times New Roman" w:eastAsia="Times New Roman" w:hAnsi="Times New Roman"/>
                <w:sz w:val="25"/>
                <w:szCs w:val="25"/>
                <w:color w:val="auto"/>
                <w:vertAlign w:val="superscript"/>
              </w:rPr>
              <w:t>(2)</w:t>
            </w:r>
          </w:p>
        </w:tc>
        <w:tc>
          <w:tcPr>
            <w:tcW w:w="11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63</w:t>
            </w:r>
          </w:p>
        </w:tc>
        <w:tc>
          <w:tcPr>
            <w:tcW w:w="10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63</w:t>
            </w:r>
          </w:p>
        </w:tc>
        <w:tc>
          <w:tcPr>
            <w:tcW w:w="11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63</w:t>
            </w:r>
          </w:p>
        </w:tc>
        <w:tc>
          <w:tcPr>
            <w:tcW w:w="11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64</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w:t>
            </w:r>
          </w:p>
        </w:tc>
      </w:tr>
      <w:tr>
        <w:trPr>
          <w:trHeight w:val="238"/>
        </w:trPr>
        <w:tc>
          <w:tcPr>
            <w:tcW w:w="5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number of partner hospitals</w:t>
            </w: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93</w:t>
            </w:r>
          </w:p>
        </w:tc>
        <w:tc>
          <w:tcPr>
            <w:tcW w:w="10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93</w:t>
            </w: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94</w:t>
            </w: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94</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94</w:t>
            </w:r>
          </w:p>
        </w:tc>
      </w:tr>
    </w:tbl>
    <w:p>
      <w:pPr>
        <w:spacing w:after="0" w:line="202" w:lineRule="exact"/>
        <w:rPr>
          <w:sz w:val="20"/>
          <w:szCs w:val="20"/>
          <w:color w:val="auto"/>
        </w:rPr>
      </w:pPr>
    </w:p>
    <w:p>
      <w:pPr>
        <w:ind w:left="424" w:right="200" w:hanging="424"/>
        <w:spacing w:after="0" w:line="208" w:lineRule="auto"/>
        <w:tabs>
          <w:tab w:leader="none" w:pos="424" w:val="left"/>
        </w:tabs>
        <w:numPr>
          <w:ilvl w:val="0"/>
          <w:numId w:val="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Refers to hospitals that are in the process of establishing in-hospital laboratories, laboratory equipment procurement or installation, staff training or pilot testing using the Company’s products.</w:t>
      </w:r>
    </w:p>
    <w:p>
      <w:pPr>
        <w:spacing w:after="0" w:line="1" w:lineRule="exact"/>
        <w:rPr>
          <w:rFonts w:ascii="Times New Roman" w:cs="Times New Roman" w:eastAsia="Times New Roman" w:hAnsi="Times New Roman"/>
          <w:sz w:val="27"/>
          <w:szCs w:val="27"/>
          <w:color w:val="auto"/>
          <w:vertAlign w:val="superscript"/>
        </w:rPr>
      </w:pPr>
    </w:p>
    <w:p>
      <w:pPr>
        <w:ind w:left="424" w:right="140" w:hanging="424"/>
        <w:spacing w:after="0" w:line="200" w:lineRule="auto"/>
        <w:tabs>
          <w:tab w:leader="none" w:pos="424" w:val="left"/>
        </w:tabs>
        <w:numPr>
          <w:ilvl w:val="0"/>
          <w:numId w:val="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Refers to hospitals that have entered into contracts to purchase the Company’s products for use on a recurring basis in their respective in-hospital laboratories the Company helped them establish. Kit revenue is generated from contracted hospitals.</w:t>
      </w:r>
    </w:p>
    <w:p>
      <w:pPr>
        <w:spacing w:after="0" w:line="1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4"/>
          </w:cols>
          <w:pgMar w:left="436" w:top="266" w:right="43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Selected Financial Data</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6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780" w:type="dxa"/>
            <w:vAlign w:val="bottom"/>
          </w:tcPr>
          <w:p>
            <w:pPr>
              <w:spacing w:after="0"/>
              <w:rPr>
                <w:sz w:val="10"/>
                <w:szCs w:val="10"/>
                <w:color w:val="auto"/>
              </w:rPr>
            </w:pPr>
          </w:p>
        </w:tc>
        <w:tc>
          <w:tcPr>
            <w:tcW w:w="820" w:type="dxa"/>
            <w:vAlign w:val="bottom"/>
            <w:gridSpan w:val="4"/>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20" w:type="dxa"/>
            <w:vAlign w:val="bottom"/>
          </w:tcPr>
          <w:p>
            <w:pPr>
              <w:spacing w:after="0"/>
              <w:rPr>
                <w:sz w:val="10"/>
                <w:szCs w:val="10"/>
                <w:color w:val="auto"/>
              </w:rPr>
            </w:pPr>
          </w:p>
        </w:tc>
        <w:tc>
          <w:tcPr>
            <w:tcW w:w="720" w:type="dxa"/>
            <w:vAlign w:val="bottom"/>
          </w:tcPr>
          <w:p>
            <w:pPr>
              <w:jc w:val="right"/>
              <w:ind w:right="9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8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September</w:t>
            </w:r>
          </w:p>
        </w:tc>
        <w:tc>
          <w:tcPr>
            <w:tcW w:w="860" w:type="dxa"/>
            <w:vAlign w:val="bottom"/>
            <w:gridSpan w:val="3"/>
          </w:tcPr>
          <w:p>
            <w:pPr>
              <w:jc w:val="center"/>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December</w:t>
            </w:r>
          </w:p>
        </w:tc>
        <w:tc>
          <w:tcPr>
            <w:tcW w:w="66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260" w:type="dxa"/>
            <w:vAlign w:val="bottom"/>
            <w:vMerge w:val="continue"/>
          </w:tcPr>
          <w:p>
            <w:pPr>
              <w:spacing w:after="0"/>
              <w:rPr>
                <w:sz w:val="15"/>
                <w:szCs w:val="15"/>
                <w:color w:val="auto"/>
              </w:rPr>
            </w:pPr>
          </w:p>
        </w:tc>
        <w:tc>
          <w:tcPr>
            <w:tcW w:w="3440" w:type="dxa"/>
            <w:vAlign w:val="bottom"/>
            <w:gridSpan w:val="3"/>
          </w:tcPr>
          <w:p>
            <w:pPr>
              <w:ind w:left="29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30, 2025</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31, 2025</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260" w:type="dxa"/>
            <w:vAlign w:val="bottom"/>
            <w:tcBorders>
              <w:top w:val="single" w:sz="8" w:color="auto"/>
            </w:tcBorders>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 in thousands)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Central laboratory channel</w:t>
            </w:r>
          </w:p>
        </w:tc>
        <w:tc>
          <w:tcPr>
            <w:tcW w:w="34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38,296</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40,861</w:t>
            </w:r>
          </w:p>
        </w:tc>
        <w:tc>
          <w:tcPr>
            <w:tcW w:w="8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36,811</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44,025</w:t>
            </w:r>
          </w:p>
        </w:tc>
        <w:tc>
          <w:tcPr>
            <w:tcW w:w="1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32,420</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In-hospital channel</w:t>
            </w:r>
          </w:p>
        </w:tc>
        <w:tc>
          <w:tcPr>
            <w:tcW w:w="34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57,687</w:t>
            </w:r>
          </w:p>
        </w:tc>
        <w:tc>
          <w:tcPr>
            <w:tcW w:w="140" w:type="dxa"/>
            <w:vAlign w:val="bottom"/>
          </w:tcPr>
          <w:p>
            <w:pPr>
              <w:spacing w:after="0"/>
              <w:rPr>
                <w:sz w:val="18"/>
                <w:szCs w:val="18"/>
                <w:color w:val="auto"/>
              </w:rPr>
            </w:pPr>
          </w:p>
        </w:tc>
        <w:tc>
          <w:tcPr>
            <w:tcW w:w="7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62,496</w:t>
            </w:r>
          </w:p>
        </w:tc>
        <w:tc>
          <w:tcPr>
            <w:tcW w:w="8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52,847</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51,005</w:t>
            </w:r>
          </w:p>
        </w:tc>
        <w:tc>
          <w:tcPr>
            <w:tcW w:w="140" w:type="dxa"/>
            <w:vAlign w:val="bottom"/>
          </w:tcPr>
          <w:p>
            <w:pPr>
              <w:spacing w:after="0"/>
              <w:rPr>
                <w:sz w:val="18"/>
                <w:szCs w:val="18"/>
                <w:color w:val="auto"/>
              </w:rPr>
            </w:pP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52,761</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Pharma research and development channel</w:t>
            </w:r>
          </w:p>
        </w:tc>
        <w:tc>
          <w:tcPr>
            <w:tcW w:w="34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37,099</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45,197</w:t>
            </w:r>
          </w:p>
        </w:tc>
        <w:tc>
          <w:tcPr>
            <w:tcW w:w="8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41,959</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31,285</w:t>
            </w:r>
          </w:p>
        </w:tc>
        <w:tc>
          <w:tcPr>
            <w:tcW w:w="1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22,762</w:t>
            </w:r>
          </w:p>
        </w:tc>
        <w:tc>
          <w:tcPr>
            <w:tcW w:w="0" w:type="dxa"/>
            <w:vAlign w:val="bottom"/>
          </w:tcPr>
          <w:p>
            <w:pPr>
              <w:spacing w:after="0"/>
              <w:rPr>
                <w:sz w:val="1"/>
                <w:szCs w:val="1"/>
                <w:color w:val="auto"/>
              </w:rPr>
            </w:pPr>
          </w:p>
        </w:tc>
      </w:tr>
      <w:tr>
        <w:trPr>
          <w:trHeight w:val="238"/>
        </w:trPr>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34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133,082</w:t>
            </w:r>
          </w:p>
        </w:tc>
        <w:tc>
          <w:tcPr>
            <w:tcW w:w="140" w:type="dxa"/>
            <w:vAlign w:val="bottom"/>
          </w:tcPr>
          <w:p>
            <w:pPr>
              <w:spacing w:after="0"/>
              <w:rPr>
                <w:sz w:val="20"/>
                <w:szCs w:val="20"/>
                <w:color w:val="auto"/>
              </w:rPr>
            </w:pPr>
          </w:p>
        </w:tc>
        <w:tc>
          <w:tcPr>
            <w:tcW w:w="7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148,554</w:t>
            </w:r>
          </w:p>
        </w:tc>
        <w:tc>
          <w:tcPr>
            <w:tcW w:w="840" w:type="dxa"/>
            <w:vAlign w:val="bottom"/>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131,617</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126,315</w:t>
            </w:r>
          </w:p>
        </w:tc>
        <w:tc>
          <w:tcPr>
            <w:tcW w:w="140" w:type="dxa"/>
            <w:vAlign w:val="bottom"/>
          </w:tcPr>
          <w:p>
            <w:pPr>
              <w:spacing w:after="0"/>
              <w:rPr>
                <w:sz w:val="20"/>
                <w:szCs w:val="20"/>
                <w:color w:val="auto"/>
              </w:rPr>
            </w:pP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107,943</w:t>
            </w:r>
          </w:p>
        </w:tc>
        <w:tc>
          <w:tcPr>
            <w:tcW w:w="0" w:type="dxa"/>
            <w:vAlign w:val="bottom"/>
          </w:tcPr>
          <w:p>
            <w:pPr>
              <w:spacing w:after="0"/>
              <w:rPr>
                <w:sz w:val="1"/>
                <w:szCs w:val="1"/>
                <w:color w:val="auto"/>
              </w:rPr>
            </w:pPr>
          </w:p>
        </w:tc>
      </w:tr>
      <w:tr>
        <w:trPr>
          <w:trHeight w:val="369"/>
        </w:trPr>
        <w:tc>
          <w:tcPr>
            <w:tcW w:w="42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Revenues by location of contracting customer</w:t>
            </w:r>
          </w:p>
        </w:tc>
        <w:tc>
          <w:tcPr>
            <w:tcW w:w="2780" w:type="dxa"/>
            <w:vAlign w:val="bottom"/>
          </w:tcPr>
          <w:p>
            <w:pPr>
              <w:spacing w:after="0"/>
              <w:rPr>
                <w:sz w:val="10"/>
                <w:szCs w:val="10"/>
                <w:color w:val="auto"/>
              </w:rPr>
            </w:pPr>
          </w:p>
        </w:tc>
        <w:tc>
          <w:tcPr>
            <w:tcW w:w="820" w:type="dxa"/>
            <w:vAlign w:val="bottom"/>
            <w:gridSpan w:val="4"/>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20" w:type="dxa"/>
            <w:vAlign w:val="bottom"/>
          </w:tcPr>
          <w:p>
            <w:pPr>
              <w:spacing w:after="0"/>
              <w:rPr>
                <w:sz w:val="10"/>
                <w:szCs w:val="10"/>
                <w:color w:val="auto"/>
              </w:rPr>
            </w:pPr>
          </w:p>
        </w:tc>
        <w:tc>
          <w:tcPr>
            <w:tcW w:w="720" w:type="dxa"/>
            <w:vAlign w:val="bottom"/>
          </w:tcPr>
          <w:p>
            <w:pPr>
              <w:jc w:val="right"/>
              <w:ind w:right="9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8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September</w:t>
            </w:r>
          </w:p>
        </w:tc>
        <w:tc>
          <w:tcPr>
            <w:tcW w:w="860" w:type="dxa"/>
            <w:vAlign w:val="bottom"/>
            <w:gridSpan w:val="3"/>
          </w:tcPr>
          <w:p>
            <w:pPr>
              <w:jc w:val="center"/>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December</w:t>
            </w:r>
          </w:p>
        </w:tc>
        <w:tc>
          <w:tcPr>
            <w:tcW w:w="66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260" w:type="dxa"/>
            <w:vAlign w:val="bottom"/>
            <w:vMerge w:val="continue"/>
          </w:tcPr>
          <w:p>
            <w:pPr>
              <w:spacing w:after="0"/>
              <w:rPr>
                <w:sz w:val="15"/>
                <w:szCs w:val="15"/>
                <w:color w:val="auto"/>
              </w:rPr>
            </w:pPr>
          </w:p>
        </w:tc>
        <w:tc>
          <w:tcPr>
            <w:tcW w:w="3440" w:type="dxa"/>
            <w:vAlign w:val="bottom"/>
            <w:gridSpan w:val="3"/>
          </w:tcPr>
          <w:p>
            <w:pPr>
              <w:ind w:left="29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30, 2025</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31, 2025</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260" w:type="dxa"/>
            <w:vAlign w:val="bottom"/>
            <w:tcBorders>
              <w:top w:val="single" w:sz="8" w:color="auto"/>
            </w:tcBorders>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 in thousands)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Overseas</w:t>
            </w:r>
          </w:p>
        </w:tc>
        <w:tc>
          <w:tcPr>
            <w:tcW w:w="34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24,407</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37,458</w:t>
            </w:r>
          </w:p>
        </w:tc>
        <w:tc>
          <w:tcPr>
            <w:tcW w:w="8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17,214</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21,849</w:t>
            </w:r>
          </w:p>
        </w:tc>
        <w:tc>
          <w:tcPr>
            <w:tcW w:w="1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8,544</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Chinese mainland</w:t>
            </w:r>
          </w:p>
        </w:tc>
        <w:tc>
          <w:tcPr>
            <w:tcW w:w="34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108,675</w:t>
            </w:r>
          </w:p>
        </w:tc>
        <w:tc>
          <w:tcPr>
            <w:tcW w:w="140" w:type="dxa"/>
            <w:vAlign w:val="bottom"/>
          </w:tcPr>
          <w:p>
            <w:pPr>
              <w:spacing w:after="0"/>
              <w:rPr>
                <w:sz w:val="18"/>
                <w:szCs w:val="18"/>
                <w:color w:val="auto"/>
              </w:rPr>
            </w:pPr>
          </w:p>
        </w:tc>
        <w:tc>
          <w:tcPr>
            <w:tcW w:w="7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111,096</w:t>
            </w:r>
          </w:p>
        </w:tc>
        <w:tc>
          <w:tcPr>
            <w:tcW w:w="8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114,403</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104,466</w:t>
            </w:r>
          </w:p>
        </w:tc>
        <w:tc>
          <w:tcPr>
            <w:tcW w:w="140" w:type="dxa"/>
            <w:vAlign w:val="bottom"/>
          </w:tcPr>
          <w:p>
            <w:pPr>
              <w:spacing w:after="0"/>
              <w:rPr>
                <w:sz w:val="18"/>
                <w:szCs w:val="18"/>
                <w:color w:val="auto"/>
              </w:rPr>
            </w:pP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99,399</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34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133,082</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148,554</w:t>
            </w:r>
          </w:p>
        </w:tc>
        <w:tc>
          <w:tcPr>
            <w:tcW w:w="8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131,617</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126,315</w:t>
            </w:r>
          </w:p>
        </w:tc>
        <w:tc>
          <w:tcPr>
            <w:tcW w:w="1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107,943</w:t>
            </w:r>
          </w:p>
        </w:tc>
        <w:tc>
          <w:tcPr>
            <w:tcW w:w="0" w:type="dxa"/>
            <w:vAlign w:val="bottom"/>
          </w:tcPr>
          <w:p>
            <w:pPr>
              <w:spacing w:after="0"/>
              <w:rPr>
                <w:sz w:val="1"/>
                <w:szCs w:val="1"/>
                <w:color w:val="auto"/>
              </w:rPr>
            </w:pPr>
          </w:p>
        </w:tc>
      </w:tr>
      <w:tr>
        <w:trPr>
          <w:trHeight w:val="391"/>
        </w:trPr>
        <w:tc>
          <w:tcPr>
            <w:tcW w:w="42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2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20" w:type="dxa"/>
            <w:vAlign w:val="bottom"/>
          </w:tcPr>
          <w:p>
            <w:pPr>
              <w:spacing w:after="0"/>
              <w:rPr>
                <w:sz w:val="10"/>
                <w:szCs w:val="10"/>
                <w:color w:val="auto"/>
              </w:rPr>
            </w:pPr>
          </w:p>
        </w:tc>
        <w:tc>
          <w:tcPr>
            <w:tcW w:w="720" w:type="dxa"/>
            <w:vAlign w:val="bottom"/>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8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September</w:t>
            </w:r>
          </w:p>
        </w:tc>
        <w:tc>
          <w:tcPr>
            <w:tcW w:w="860" w:type="dxa"/>
            <w:vAlign w:val="bottom"/>
            <w:gridSpan w:val="3"/>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December</w:t>
            </w:r>
          </w:p>
        </w:tc>
        <w:tc>
          <w:tcPr>
            <w:tcW w:w="20" w:type="dxa"/>
            <w:vAlign w:val="bottom"/>
          </w:tcPr>
          <w:p>
            <w:pPr>
              <w:spacing w:after="0"/>
              <w:rPr>
                <w:sz w:val="10"/>
                <w:szCs w:val="10"/>
                <w:color w:val="auto"/>
              </w:rPr>
            </w:pPr>
          </w:p>
        </w:tc>
        <w:tc>
          <w:tcPr>
            <w:tcW w:w="6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260" w:type="dxa"/>
            <w:vAlign w:val="bottom"/>
            <w:vMerge w:val="continue"/>
          </w:tcPr>
          <w:p>
            <w:pPr>
              <w:spacing w:after="0"/>
              <w:rPr>
                <w:sz w:val="15"/>
                <w:szCs w:val="15"/>
                <w:color w:val="auto"/>
              </w:rPr>
            </w:pPr>
          </w:p>
        </w:tc>
        <w:tc>
          <w:tcPr>
            <w:tcW w:w="3440" w:type="dxa"/>
            <w:vAlign w:val="bottom"/>
            <w:gridSpan w:val="3"/>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4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30, 2025</w:t>
            </w:r>
          </w:p>
        </w:tc>
        <w:tc>
          <w:tcPr>
            <w:tcW w:w="700" w:type="dxa"/>
            <w:vAlign w:val="bottom"/>
          </w:tcPr>
          <w:p>
            <w:pPr>
              <w:jc w:val="center"/>
              <w:ind w:left="37"/>
              <w:spacing w:after="0"/>
              <w:rPr>
                <w:sz w:val="20"/>
                <w:szCs w:val="20"/>
                <w:color w:val="auto"/>
              </w:rPr>
            </w:pPr>
            <w:r>
              <w:rPr>
                <w:rFonts w:ascii="Times New Roman" w:cs="Times New Roman" w:eastAsia="Times New Roman" w:hAnsi="Times New Roman"/>
                <w:sz w:val="14"/>
                <w:szCs w:val="14"/>
                <w:b w:val="1"/>
                <w:bCs w:val="1"/>
                <w:color w:val="auto"/>
              </w:rPr>
              <w:t>31, 2025</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80" w:type="dxa"/>
            <w:vAlign w:val="bottom"/>
            <w:tcBorders>
              <w:top w:val="single" w:sz="8" w:color="auto"/>
            </w:tcBorders>
            <w:gridSpan w:val="4"/>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 in thousands)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Central laboratory channel</w:t>
            </w:r>
          </w:p>
        </w:tc>
        <w:tc>
          <w:tcPr>
            <w:tcW w:w="3600" w:type="dxa"/>
            <w:vAlign w:val="bottom"/>
            <w:gridSpan w:val="5"/>
            <w:shd w:val="clear" w:color="auto" w:fill="CCEEFF"/>
          </w:tcPr>
          <w:p>
            <w:pPr>
              <w:ind w:left="2960"/>
              <w:spacing w:after="0"/>
              <w:rPr>
                <w:sz w:val="20"/>
                <w:szCs w:val="20"/>
                <w:color w:val="auto"/>
              </w:rPr>
            </w:pPr>
            <w:r>
              <w:rPr>
                <w:rFonts w:ascii="Times New Roman" w:cs="Times New Roman" w:eastAsia="Times New Roman" w:hAnsi="Times New Roman"/>
                <w:sz w:val="18"/>
                <w:szCs w:val="18"/>
                <w:color w:val="auto"/>
              </w:rPr>
              <w:t>32,191</w:t>
            </w:r>
          </w:p>
        </w:tc>
        <w:tc>
          <w:tcPr>
            <w:tcW w:w="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35,937</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30,126</w:t>
            </w: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39,322</w:t>
            </w:r>
          </w:p>
        </w:tc>
        <w:tc>
          <w:tcPr>
            <w:tcW w:w="7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28,761</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In-hospital channel</w:t>
            </w:r>
          </w:p>
        </w:tc>
        <w:tc>
          <w:tcPr>
            <w:tcW w:w="3600" w:type="dxa"/>
            <w:vAlign w:val="bottom"/>
            <w:gridSpan w:val="5"/>
          </w:tcPr>
          <w:p>
            <w:pPr>
              <w:ind w:left="2960"/>
              <w:spacing w:after="0"/>
              <w:rPr>
                <w:sz w:val="20"/>
                <w:szCs w:val="20"/>
                <w:color w:val="auto"/>
              </w:rPr>
            </w:pPr>
            <w:r>
              <w:rPr>
                <w:rFonts w:ascii="Times New Roman" w:cs="Times New Roman" w:eastAsia="Times New Roman" w:hAnsi="Times New Roman"/>
                <w:sz w:val="18"/>
                <w:szCs w:val="18"/>
                <w:color w:val="auto"/>
              </w:rPr>
              <w:t>43,895</w:t>
            </w:r>
          </w:p>
        </w:tc>
        <w:tc>
          <w:tcPr>
            <w:tcW w:w="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46,490</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37,925</w:t>
            </w: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38,388</w:t>
            </w: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38,458</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Pharma research and development channel</w:t>
            </w:r>
          </w:p>
        </w:tc>
        <w:tc>
          <w:tcPr>
            <w:tcW w:w="3600" w:type="dxa"/>
            <w:vAlign w:val="bottom"/>
            <w:gridSpan w:val="5"/>
            <w:shd w:val="clear" w:color="auto" w:fill="CCEEFF"/>
          </w:tcPr>
          <w:p>
            <w:pPr>
              <w:ind w:left="2960"/>
              <w:spacing w:after="0"/>
              <w:rPr>
                <w:sz w:val="20"/>
                <w:szCs w:val="20"/>
                <w:color w:val="auto"/>
              </w:rPr>
            </w:pPr>
            <w:r>
              <w:rPr>
                <w:rFonts w:ascii="Times New Roman" w:cs="Times New Roman" w:eastAsia="Times New Roman" w:hAnsi="Times New Roman"/>
                <w:sz w:val="18"/>
                <w:szCs w:val="18"/>
                <w:color w:val="auto"/>
              </w:rPr>
              <w:t>21,315</w:t>
            </w:r>
          </w:p>
        </w:tc>
        <w:tc>
          <w:tcPr>
            <w:tcW w:w="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25,676</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30,793</w:t>
            </w: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20,856</w:t>
            </w:r>
          </w:p>
        </w:tc>
        <w:tc>
          <w:tcPr>
            <w:tcW w:w="7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10,789</w:t>
            </w:r>
          </w:p>
        </w:tc>
        <w:tc>
          <w:tcPr>
            <w:tcW w:w="0" w:type="dxa"/>
            <w:vAlign w:val="bottom"/>
          </w:tcPr>
          <w:p>
            <w:pPr>
              <w:spacing w:after="0"/>
              <w:rPr>
                <w:sz w:val="1"/>
                <w:szCs w:val="1"/>
                <w:color w:val="auto"/>
              </w:rPr>
            </w:pPr>
          </w:p>
        </w:tc>
      </w:tr>
      <w:tr>
        <w:trPr>
          <w:trHeight w:val="238"/>
        </w:trPr>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gross profit</w:t>
            </w:r>
          </w:p>
        </w:tc>
        <w:tc>
          <w:tcPr>
            <w:tcW w:w="3600" w:type="dxa"/>
            <w:vAlign w:val="bottom"/>
            <w:gridSpan w:val="5"/>
          </w:tcPr>
          <w:p>
            <w:pPr>
              <w:ind w:left="2960"/>
              <w:spacing w:after="0"/>
              <w:rPr>
                <w:sz w:val="20"/>
                <w:szCs w:val="20"/>
                <w:color w:val="auto"/>
              </w:rPr>
            </w:pPr>
            <w:r>
              <w:rPr>
                <w:rFonts w:ascii="Times New Roman" w:cs="Times New Roman" w:eastAsia="Times New Roman" w:hAnsi="Times New Roman"/>
                <w:sz w:val="18"/>
                <w:szCs w:val="18"/>
                <w:b w:val="1"/>
                <w:bCs w:val="1"/>
                <w:color w:val="auto"/>
              </w:rPr>
              <w:t>97,401</w:t>
            </w: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108,103</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98,844</w:t>
            </w: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98,566</w:t>
            </w: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78,008</w:t>
            </w:r>
          </w:p>
        </w:tc>
        <w:tc>
          <w:tcPr>
            <w:tcW w:w="0" w:type="dxa"/>
            <w:vAlign w:val="bottom"/>
          </w:tcPr>
          <w:p>
            <w:pPr>
              <w:spacing w:after="0"/>
              <w:rPr>
                <w:sz w:val="1"/>
                <w:szCs w:val="1"/>
                <w:color w:val="auto"/>
              </w:rPr>
            </w:pPr>
          </w:p>
        </w:tc>
      </w:tr>
      <w:tr>
        <w:trPr>
          <w:trHeight w:val="342"/>
        </w:trPr>
        <w:tc>
          <w:tcPr>
            <w:tcW w:w="4260" w:type="dxa"/>
            <w:vAlign w:val="bottom"/>
          </w:tcPr>
          <w:p>
            <w:pPr>
              <w:spacing w:after="0"/>
              <w:rPr>
                <w:sz w:val="24"/>
                <w:szCs w:val="24"/>
                <w:color w:val="auto"/>
              </w:rPr>
            </w:pPr>
          </w:p>
        </w:tc>
        <w:tc>
          <w:tcPr>
            <w:tcW w:w="2780" w:type="dxa"/>
            <w:vAlign w:val="bottom"/>
          </w:tcPr>
          <w:p>
            <w:pPr>
              <w:jc w:val="right"/>
              <w:ind w:right="1414"/>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10" w:name="page11"/>
    <w:bookmarkEnd w:id="1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3"/>
        </w:trPr>
        <w:tc>
          <w:tcPr>
            <w:tcW w:w="43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6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Share-based compensation expenses</w:t>
            </w:r>
          </w:p>
        </w:tc>
        <w:tc>
          <w:tcPr>
            <w:tcW w:w="2420" w:type="dxa"/>
            <w:vAlign w:val="bottom"/>
          </w:tcPr>
          <w:p>
            <w:pPr>
              <w:spacing w:after="0"/>
              <w:rPr>
                <w:sz w:val="10"/>
                <w:szCs w:val="10"/>
                <w:color w:val="auto"/>
              </w:rPr>
            </w:pPr>
          </w:p>
        </w:tc>
        <w:tc>
          <w:tcPr>
            <w:tcW w:w="88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58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060" w:type="dxa"/>
            <w:vAlign w:val="bottom"/>
          </w:tcPr>
          <w:p>
            <w:pPr>
              <w:jc w:val="right"/>
              <w:ind w:right="57"/>
              <w:spacing w:after="0" w:line="118" w:lineRule="exact"/>
              <w:rPr>
                <w:sz w:val="20"/>
                <w:szCs w:val="20"/>
                <w:color w:val="auto"/>
              </w:rPr>
            </w:pPr>
            <w:r>
              <w:rPr>
                <w:rFonts w:ascii="Times New Roman" w:cs="Times New Roman" w:eastAsia="Times New Roman" w:hAnsi="Times New Roman"/>
                <w:sz w:val="13"/>
                <w:szCs w:val="13"/>
                <w:b w:val="1"/>
                <w:bCs w:val="1"/>
                <w:color w:val="auto"/>
              </w:rPr>
              <w:t>September</w:t>
            </w:r>
          </w:p>
        </w:tc>
        <w:tc>
          <w:tcPr>
            <w:tcW w:w="1000" w:type="dxa"/>
            <w:vAlign w:val="bottom"/>
            <w:gridSpan w:val="2"/>
          </w:tcPr>
          <w:p>
            <w:pPr>
              <w:ind w:left="120"/>
              <w:spacing w:after="0" w:line="118" w:lineRule="exact"/>
              <w:rPr>
                <w:sz w:val="20"/>
                <w:szCs w:val="20"/>
                <w:color w:val="auto"/>
              </w:rPr>
            </w:pPr>
            <w:r>
              <w:rPr>
                <w:rFonts w:ascii="Times New Roman" w:cs="Times New Roman" w:eastAsia="Times New Roman" w:hAnsi="Times New Roman"/>
                <w:sz w:val="13"/>
                <w:szCs w:val="13"/>
                <w:b w:val="1"/>
                <w:bCs w:val="1"/>
                <w:color w:val="auto"/>
              </w:rPr>
              <w:t>December</w:t>
            </w:r>
          </w:p>
        </w:tc>
        <w:tc>
          <w:tcPr>
            <w:tcW w:w="6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320" w:type="dxa"/>
            <w:vAlign w:val="bottom"/>
            <w:vMerge w:val="continue"/>
          </w:tcPr>
          <w:p>
            <w:pPr>
              <w:spacing w:after="0"/>
              <w:rPr>
                <w:sz w:val="15"/>
                <w:szCs w:val="15"/>
                <w:color w:val="auto"/>
              </w:rPr>
            </w:pPr>
          </w:p>
        </w:tc>
        <w:tc>
          <w:tcPr>
            <w:tcW w:w="3040" w:type="dxa"/>
            <w:vAlign w:val="bottom"/>
            <w:gridSpan w:val="2"/>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5"/>
                <w:szCs w:val="15"/>
                <w:color w:val="auto"/>
              </w:rPr>
            </w:pPr>
          </w:p>
        </w:tc>
        <w:tc>
          <w:tcPr>
            <w:tcW w:w="58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6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30, 2025</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31, 2025</w:t>
            </w:r>
          </w:p>
        </w:tc>
        <w:tc>
          <w:tcPr>
            <w:tcW w:w="240" w:type="dxa"/>
            <w:vAlign w:val="bottom"/>
          </w:tcPr>
          <w:p>
            <w:pPr>
              <w:spacing w:after="0"/>
              <w:rPr>
                <w:sz w:val="15"/>
                <w:szCs w:val="15"/>
                <w:color w:val="auto"/>
              </w:rPr>
            </w:pPr>
          </w:p>
        </w:tc>
        <w:tc>
          <w:tcPr>
            <w:tcW w:w="64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3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820" w:type="dxa"/>
            <w:vAlign w:val="bottom"/>
            <w:tcBorders>
              <w:top w:val="single" w:sz="8" w:color="auto"/>
            </w:tcBorders>
            <w:gridSpan w:val="2"/>
          </w:tcPr>
          <w:p>
            <w:pPr>
              <w:jc w:val="right"/>
              <w:ind w:right="496"/>
              <w:spacing w:after="0" w:line="142" w:lineRule="exact"/>
              <w:rPr>
                <w:sz w:val="20"/>
                <w:szCs w:val="20"/>
                <w:color w:val="auto"/>
              </w:rPr>
            </w:pPr>
            <w:r>
              <w:rPr>
                <w:rFonts w:ascii="Times New Roman" w:cs="Times New Roman" w:eastAsia="Times New Roman" w:hAnsi="Times New Roman"/>
                <w:sz w:val="14"/>
                <w:szCs w:val="14"/>
                <w:b w:val="1"/>
                <w:bCs w:val="1"/>
                <w:color w:val="auto"/>
              </w:rPr>
              <w:t>(RMB in thousands)</w:t>
            </w:r>
          </w:p>
        </w:tc>
        <w:tc>
          <w:tcPr>
            <w:tcW w:w="24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33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308</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301</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300</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3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1,800</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6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73</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259</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(345)</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33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1,025</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624</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748</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3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1,413</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w:t>
            </w:r>
          </w:p>
        </w:tc>
        <w:tc>
          <w:tcPr>
            <w:tcW w:w="106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2,831</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1,815</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1,907</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share-based compensation expenses</w:t>
            </w:r>
          </w:p>
        </w:tc>
        <w:tc>
          <w:tcPr>
            <w:tcW w:w="33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4,546</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2,379</w:t>
            </w:r>
          </w:p>
        </w:tc>
        <w:tc>
          <w:tcPr>
            <w:tcW w:w="10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b w:val="1"/>
                <w:bCs w:val="1"/>
                <w:color w:val="auto"/>
              </w:rPr>
              <w:t>3,829</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3,122</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1,808</w:t>
            </w:r>
          </w:p>
        </w:tc>
        <w:tc>
          <w:tcPr>
            <w:tcW w:w="0" w:type="dxa"/>
            <w:vAlign w:val="bottom"/>
          </w:tcPr>
          <w:p>
            <w:pPr>
              <w:spacing w:after="0"/>
              <w:rPr>
                <w:sz w:val="1"/>
                <w:szCs w:val="1"/>
                <w:color w:val="auto"/>
              </w:rPr>
            </w:pPr>
          </w:p>
        </w:tc>
      </w:tr>
      <w:tr>
        <w:trPr>
          <w:trHeight w:val="364"/>
        </w:trPr>
        <w:tc>
          <w:tcPr>
            <w:tcW w:w="4320" w:type="dxa"/>
            <w:vAlign w:val="bottom"/>
          </w:tcPr>
          <w:p>
            <w:pPr>
              <w:spacing w:after="0"/>
              <w:rPr>
                <w:sz w:val="24"/>
                <w:szCs w:val="24"/>
                <w:color w:val="auto"/>
              </w:rPr>
            </w:pPr>
          </w:p>
        </w:tc>
        <w:tc>
          <w:tcPr>
            <w:tcW w:w="2420" w:type="dxa"/>
            <w:vAlign w:val="bottom"/>
          </w:tcPr>
          <w:p>
            <w:pPr>
              <w:jc w:val="right"/>
              <w:ind w:right="1113"/>
              <w:spacing w:after="0"/>
              <w:rPr>
                <w:sz w:val="20"/>
                <w:szCs w:val="20"/>
                <w:color w:val="auto"/>
              </w:rPr>
            </w:pPr>
            <w:r>
              <w:rPr>
                <w:rFonts w:ascii="Times New Roman" w:cs="Times New Roman" w:eastAsia="Times New Roman" w:hAnsi="Times New Roman"/>
                <w:sz w:val="18"/>
                <w:szCs w:val="18"/>
                <w:color w:val="auto"/>
              </w:rPr>
              <w:t>7</w:t>
            </w: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3" w:right="439" w:bottom="1440" w:gutter="0" w:footer="0" w:header="0"/>
        </w:sectPr>
      </w:pPr>
    </w:p>
    <w:bookmarkStart w:id="11" w:name="page12"/>
    <w:bookmarkEnd w:id="1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Burning Rock Biotech Limited</w:t>
      </w:r>
    </w:p>
    <w:p>
      <w:pPr>
        <w:spacing w:after="0" w:line="31"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Unaudited Condensed Statements of Comprehensive Loss</w:t>
      </w:r>
    </w:p>
    <w:p>
      <w:pPr>
        <w:spacing w:after="0" w:line="20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i w:val="1"/>
          <w:iCs w:val="1"/>
          <w:color w:val="auto"/>
        </w:rPr>
        <w:t>(in thousands, except for number of shares and per share data)</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0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8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17"/>
        </w:trPr>
        <w:tc>
          <w:tcPr>
            <w:tcW w:w="4500" w:type="dxa"/>
            <w:vAlign w:val="bottom"/>
          </w:tcPr>
          <w:p>
            <w:pPr>
              <w:spacing w:after="0"/>
              <w:rPr>
                <w:sz w:val="10"/>
                <w:szCs w:val="10"/>
                <w:color w:val="auto"/>
              </w:rPr>
            </w:pPr>
          </w:p>
        </w:tc>
        <w:tc>
          <w:tcPr>
            <w:tcW w:w="960" w:type="dxa"/>
            <w:vAlign w:val="bottom"/>
            <w:gridSpan w:val="2"/>
          </w:tcPr>
          <w:p>
            <w:pPr>
              <w:jc w:val="center"/>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40" w:type="dxa"/>
            <w:vAlign w:val="bottom"/>
          </w:tcPr>
          <w:p>
            <w:pPr>
              <w:spacing w:after="0"/>
              <w:rPr>
                <w:sz w:val="10"/>
                <w:szCs w:val="10"/>
                <w:color w:val="auto"/>
              </w:rPr>
            </w:pPr>
          </w:p>
        </w:tc>
        <w:tc>
          <w:tcPr>
            <w:tcW w:w="110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08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September</w:t>
            </w:r>
          </w:p>
        </w:tc>
        <w:tc>
          <w:tcPr>
            <w:tcW w:w="110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December</w:t>
            </w:r>
          </w:p>
        </w:tc>
        <w:tc>
          <w:tcPr>
            <w:tcW w:w="110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9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20" w:type="dxa"/>
            <w:vAlign w:val="bottom"/>
          </w:tcPr>
          <w:p>
            <w:pPr>
              <w:spacing w:after="0"/>
              <w:rPr>
                <w:sz w:val="10"/>
                <w:szCs w:val="10"/>
                <w:color w:val="auto"/>
              </w:rPr>
            </w:pPr>
          </w:p>
        </w:tc>
      </w:tr>
      <w:tr>
        <w:trPr>
          <w:trHeight w:val="173"/>
        </w:trPr>
        <w:tc>
          <w:tcPr>
            <w:tcW w:w="450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Pr>
          <w:p>
            <w:pPr>
              <w:spacing w:after="0"/>
              <w:rPr>
                <w:sz w:val="15"/>
                <w:szCs w:val="15"/>
                <w:color w:val="auto"/>
              </w:rPr>
            </w:pPr>
          </w:p>
        </w:tc>
        <w:tc>
          <w:tcPr>
            <w:tcW w:w="1020" w:type="dxa"/>
            <w:vAlign w:val="bottom"/>
            <w:gridSpan w:val="2"/>
          </w:tcPr>
          <w:p>
            <w:pPr>
              <w:jc w:val="center"/>
              <w:ind w:left="51"/>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2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30, 2025</w:t>
            </w:r>
          </w:p>
        </w:tc>
        <w:tc>
          <w:tcPr>
            <w:tcW w:w="22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31, 2025</w:t>
            </w:r>
          </w:p>
        </w:tc>
        <w:tc>
          <w:tcPr>
            <w:tcW w:w="22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22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20" w:type="dxa"/>
            <w:vAlign w:val="bottom"/>
          </w:tcPr>
          <w:p>
            <w:pPr>
              <w:spacing w:after="0"/>
              <w:rPr>
                <w:sz w:val="15"/>
                <w:szCs w:val="15"/>
                <w:color w:val="auto"/>
              </w:rPr>
            </w:pPr>
          </w:p>
        </w:tc>
      </w:tr>
      <w:tr>
        <w:trPr>
          <w:trHeight w:val="142"/>
        </w:trPr>
        <w:tc>
          <w:tcPr>
            <w:tcW w:w="4500" w:type="dxa"/>
            <w:vAlign w:val="bottom"/>
          </w:tcPr>
          <w:p>
            <w:pPr>
              <w:spacing w:after="0"/>
              <w:rPr>
                <w:sz w:val="12"/>
                <w:szCs w:val="12"/>
                <w:color w:val="auto"/>
              </w:rPr>
            </w:pPr>
          </w:p>
        </w:tc>
        <w:tc>
          <w:tcPr>
            <w:tcW w:w="8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8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8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8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6"/>
              </w:rPr>
              <w:t>US$</w:t>
            </w:r>
          </w:p>
        </w:tc>
        <w:tc>
          <w:tcPr>
            <w:tcW w:w="120" w:type="dxa"/>
            <w:vAlign w:val="bottom"/>
          </w:tcPr>
          <w:p>
            <w:pPr>
              <w:spacing w:after="0"/>
              <w:rPr>
                <w:sz w:val="12"/>
                <w:szCs w:val="12"/>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133,082</w:t>
            </w: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148,554</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131,617</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126,315</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107,943</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15,649</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(35,681)</w:t>
            </w: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(40,451)</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(32,773)</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(27,749)</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(29,935)</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(4,339)</w:t>
            </w:r>
          </w:p>
        </w:tc>
      </w:tr>
      <w:tr>
        <w:trPr>
          <w:trHeight w:val="27"/>
        </w:trPr>
        <w:tc>
          <w:tcPr>
            <w:tcW w:w="45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97,401</w:t>
            </w: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108,103</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98,844</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98,566</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78,008</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11,310</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(40,389)</w:t>
            </w:r>
          </w:p>
        </w:tc>
        <w:tc>
          <w:tcPr>
            <w:tcW w:w="12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(49,770)</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(41,469)</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(34,866)</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(27,559)</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(3,995)</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(40,888)</w:t>
            </w: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(38,413)</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(41,808)</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(44,066)</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(41,206)</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(5,974)</w:t>
            </w: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(31,303)</w:t>
            </w:r>
          </w:p>
        </w:tc>
        <w:tc>
          <w:tcPr>
            <w:tcW w:w="12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(31,417)</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(31,698)</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(31,672)</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(28,088)</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(4,072)</w:t>
            </w:r>
          </w:p>
        </w:tc>
      </w:tr>
      <w:tr>
        <w:trPr>
          <w:trHeight w:val="230"/>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(112,580)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(119,600)</w:t>
            </w:r>
          </w:p>
        </w:tc>
        <w:tc>
          <w:tcPr>
            <w:tcW w:w="22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(114,975)</w:t>
            </w:r>
          </w:p>
        </w:tc>
        <w:tc>
          <w:tcPr>
            <w:tcW w:w="22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(110,604)</w:t>
            </w:r>
          </w:p>
        </w:tc>
        <w:tc>
          <w:tcPr>
            <w:tcW w:w="22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(96,853)</w:t>
            </w:r>
          </w:p>
        </w:tc>
        <w:tc>
          <w:tcPr>
            <w:tcW w:w="22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(14,041)</w:t>
            </w:r>
          </w:p>
        </w:tc>
        <w:tc>
          <w:tcPr>
            <w:tcW w:w="120" w:type="dxa"/>
            <w:vAlign w:val="bottom"/>
          </w:tcPr>
          <w:p>
            <w:pPr>
              <w:spacing w:after="0"/>
              <w:rPr>
                <w:sz w:val="20"/>
                <w:szCs w:val="20"/>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(15,179)</w:t>
            </w:r>
          </w:p>
        </w:tc>
        <w:tc>
          <w:tcPr>
            <w:tcW w:w="12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(11,497)</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(16,131)</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(12,038)</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(18,845)</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(2,731)</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2,581</w:t>
            </w: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2,226</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1,744</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1,502</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1,261</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183</w:t>
            </w: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(652)</w:t>
            </w: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387</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294</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(loss) gain, net</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12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(574)</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(2,151)</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(3,960)</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65</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(13,276)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(9,458)</w:t>
            </w:r>
          </w:p>
        </w:tc>
        <w:tc>
          <w:tcPr>
            <w:tcW w:w="2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(16,546)</w:t>
            </w:r>
          </w:p>
        </w:tc>
        <w:tc>
          <w:tcPr>
            <w:tcW w:w="22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(14,510)</w:t>
            </w:r>
          </w:p>
        </w:tc>
        <w:tc>
          <w:tcPr>
            <w:tcW w:w="22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(17,240)</w:t>
            </w:r>
          </w:p>
        </w:tc>
        <w:tc>
          <w:tcPr>
            <w:tcW w:w="22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(2,498)</w:t>
            </w:r>
          </w:p>
        </w:tc>
        <w:tc>
          <w:tcPr>
            <w:tcW w:w="120" w:type="dxa"/>
            <w:vAlign w:val="bottom"/>
          </w:tcPr>
          <w:p>
            <w:pPr>
              <w:spacing w:after="0"/>
              <w:rPr>
                <w:sz w:val="19"/>
                <w:szCs w:val="19"/>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expenses</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(224)</w:t>
            </w:r>
          </w:p>
        </w:tc>
        <w:tc>
          <w:tcPr>
            <w:tcW w:w="12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(244)</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(212)</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(876)</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(232)</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w:t>
            </w:r>
          </w:p>
        </w:tc>
      </w:tr>
      <w:tr>
        <w:trPr>
          <w:trHeight w:val="223"/>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(9,702)</w:t>
            </w:r>
          </w:p>
        </w:tc>
        <w:tc>
          <w:tcPr>
            <w:tcW w:w="2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(16,758)</w:t>
            </w:r>
          </w:p>
        </w:tc>
        <w:tc>
          <w:tcPr>
            <w:tcW w:w="2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(15,386)</w:t>
            </w:r>
          </w:p>
        </w:tc>
        <w:tc>
          <w:tcPr>
            <w:tcW w:w="2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(17,472)</w:t>
            </w:r>
          </w:p>
        </w:tc>
        <w:tc>
          <w:tcPr>
            <w:tcW w:w="2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(2,532)</w:t>
            </w:r>
          </w:p>
        </w:tc>
        <w:tc>
          <w:tcPr>
            <w:tcW w:w="120" w:type="dxa"/>
            <w:vAlign w:val="bottom"/>
          </w:tcPr>
          <w:p>
            <w:pPr>
              <w:spacing w:after="0"/>
              <w:rPr>
                <w:sz w:val="19"/>
                <w:szCs w:val="19"/>
                <w:color w:val="auto"/>
              </w:rPr>
            </w:pPr>
          </w:p>
        </w:tc>
      </w:tr>
      <w:tr>
        <w:trPr>
          <w:trHeight w:val="20"/>
        </w:trPr>
        <w:tc>
          <w:tcPr>
            <w:tcW w:w="45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8"/>
        </w:trPr>
        <w:tc>
          <w:tcPr>
            <w:tcW w:w="450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Net loss attributable to Burning Rock Biotech Limited’s</w:t>
            </w: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38"/>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(13,500)</w:t>
            </w:r>
          </w:p>
        </w:tc>
        <w:tc>
          <w:tcPr>
            <w:tcW w:w="12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(9,702)</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(16,758)</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(15,386)</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(17,472)</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(2,532)</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ordinary shareholders</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(13,500)</w:t>
            </w: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(9,702)</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(16,758)</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(15,386)</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(17,472)</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(2,532)</w:t>
            </w: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per share for class A and class B ordinary shares:</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Class A ordinary shares - basic and diluted</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(0.13)</w:t>
            </w: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(0.09)</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(0.16)</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(0.15)</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(0.17)</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(0.02)</w:t>
            </w: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B ordinary shares - basic and diluted</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(0.13)</w:t>
            </w:r>
          </w:p>
        </w:tc>
        <w:tc>
          <w:tcPr>
            <w:tcW w:w="12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(0.09)</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(0.16)</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(0.15)</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(0.17)</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(0.02)</w:t>
            </w:r>
          </w:p>
        </w:tc>
      </w:tr>
      <w:tr>
        <w:trPr>
          <w:trHeight w:val="194"/>
        </w:trPr>
        <w:tc>
          <w:tcPr>
            <w:tcW w:w="450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shares outstanding used in loss per</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38"/>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share computation:</w:t>
            </w: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ordinary shares - basic and diluted</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90,291,658</w:t>
            </w: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90,357,970</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90,416,619</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87,444,109</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87,871,026</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87,871,026</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Class B ordinary shares - basic and diluted</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17,324,848</w:t>
            </w: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17,324,848</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17,324,848</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17,324,848</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17,324,848</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17,324,848</w:t>
            </w: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 net of tax of nil:</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w:t>
            </w: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(243)</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(1,724)</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(2,050)</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(3,143)</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(456)</w:t>
            </w: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(13,572)</w:t>
            </w:r>
          </w:p>
        </w:tc>
        <w:tc>
          <w:tcPr>
            <w:tcW w:w="12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(9,945)</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(18,482)</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(17,436)</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(20,615)</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(2,988)</w:t>
            </w:r>
          </w:p>
        </w:tc>
      </w:tr>
      <w:tr>
        <w:trPr>
          <w:trHeight w:val="194"/>
        </w:trPr>
        <w:tc>
          <w:tcPr>
            <w:tcW w:w="450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Total comprehensive loss attributable to Burning Rock</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38"/>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Biotech Limited’s shareholders</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(13,572)</w:t>
            </w: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(9,945)</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(18,482)</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(17,436)</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(20,615)</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(2,988)</w:t>
            </w:r>
          </w:p>
        </w:tc>
      </w:tr>
      <w:tr>
        <w:trPr>
          <w:trHeight w:val="365"/>
        </w:trPr>
        <w:tc>
          <w:tcPr>
            <w:tcW w:w="4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8</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020"/>
          </w:cols>
          <w:pgMar w:left="440" w:top="266" w:right="439" w:bottom="1440" w:gutter="0" w:footer="0" w:header="0"/>
        </w:sectPr>
      </w:pPr>
    </w:p>
    <w:bookmarkStart w:id="12" w:name="page13"/>
    <w:bookmarkEnd w:id="1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Burning Rock Biotech Limited</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2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6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6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06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112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90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6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060" w:type="dxa"/>
            <w:vAlign w:val="bottom"/>
          </w:tcPr>
          <w:p>
            <w:pPr>
              <w:spacing w:after="0"/>
              <w:rPr>
                <w:sz w:val="15"/>
                <w:szCs w:val="15"/>
                <w:color w:val="auto"/>
              </w:rPr>
            </w:pPr>
          </w:p>
        </w:tc>
        <w:tc>
          <w:tcPr>
            <w:tcW w:w="5060" w:type="dxa"/>
            <w:vAlign w:val="bottom"/>
            <w:gridSpan w:val="2"/>
          </w:tcPr>
          <w:p>
            <w:pPr>
              <w:jc w:val="center"/>
              <w:ind w:left="4132"/>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8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26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6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80" w:type="dxa"/>
            <w:vAlign w:val="bottom"/>
          </w:tcPr>
          <w:p>
            <w:pPr>
              <w:spacing w:after="0"/>
              <w:rPr>
                <w:sz w:val="12"/>
                <w:szCs w:val="12"/>
                <w:color w:val="auto"/>
              </w:rPr>
            </w:pPr>
          </w:p>
        </w:tc>
        <w:tc>
          <w:tcPr>
            <w:tcW w:w="6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6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4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3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478,392</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446,002</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64,657</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53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2,696</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2,728</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53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169,611</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164,497</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23,847</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assets, net</w:t>
            </w:r>
          </w:p>
        </w:tc>
        <w:tc>
          <w:tcPr>
            <w:tcW w:w="53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12,301</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12,715</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1,843</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53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56,975</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54,294</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7,871</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42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18,611</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20,759</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3,010</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4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4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738,586</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700,995</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101,623</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4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53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31,099</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26,997</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3,914</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Operating right-of-use assets</w:t>
            </w:r>
          </w:p>
        </w:tc>
        <w:tc>
          <w:tcPr>
            <w:tcW w:w="53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42,774</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51,931</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7,528</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53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284</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258</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42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7,632</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7,603</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1,102</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4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4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81,789</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86,789</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12,581</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53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820,375</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787,784</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114,204</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4220" w:type="dxa"/>
            <w:vAlign w:val="bottom"/>
            <w:vMerge w:val="restart"/>
          </w:tcPr>
          <w:p>
            <w:pPr>
              <w:jc w:val="right"/>
              <w:ind w:right="2652"/>
              <w:spacing w:after="0"/>
              <w:rPr>
                <w:sz w:val="20"/>
                <w:szCs w:val="20"/>
                <w:color w:val="auto"/>
              </w:rPr>
            </w:pPr>
            <w:r>
              <w:rPr>
                <w:rFonts w:ascii="Times New Roman" w:cs="Times New Roman" w:eastAsia="Times New Roman" w:hAnsi="Times New Roman"/>
                <w:sz w:val="18"/>
                <w:szCs w:val="18"/>
                <w:color w:val="auto"/>
              </w:rPr>
              <w:t>9</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060" w:type="dxa"/>
            <w:vAlign w:val="bottom"/>
          </w:tcPr>
          <w:p>
            <w:pPr>
              <w:spacing w:after="0"/>
              <w:rPr>
                <w:sz w:val="24"/>
                <w:szCs w:val="24"/>
                <w:color w:val="auto"/>
              </w:rPr>
            </w:pPr>
          </w:p>
        </w:tc>
        <w:tc>
          <w:tcPr>
            <w:tcW w:w="422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13" w:name="page14"/>
    <w:bookmarkEnd w:id="1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Burning Rock Biotech Limited</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 (Continued)</w:t>
      </w:r>
    </w:p>
    <w:p>
      <w:pPr>
        <w:spacing w:after="0" w:line="2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8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7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98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104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06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7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980" w:type="dxa"/>
            <w:vAlign w:val="bottom"/>
          </w:tcPr>
          <w:p>
            <w:pPr>
              <w:spacing w:after="0"/>
              <w:rPr>
                <w:sz w:val="15"/>
                <w:szCs w:val="15"/>
                <w:color w:val="auto"/>
              </w:rPr>
            </w:pPr>
          </w:p>
        </w:tc>
        <w:tc>
          <w:tcPr>
            <w:tcW w:w="3960" w:type="dxa"/>
            <w:vAlign w:val="bottom"/>
            <w:gridSpan w:val="2"/>
          </w:tcPr>
          <w:p>
            <w:pPr>
              <w:jc w:val="center"/>
              <w:ind w:left="3031"/>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98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3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41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40,744</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18,043</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2,616</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41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107,819</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114,487</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16,597</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 and other current liabilities</w:t>
            </w:r>
          </w:p>
        </w:tc>
        <w:tc>
          <w:tcPr>
            <w:tcW w:w="41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80,861</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75,381</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10,928</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Customer deposits</w:t>
            </w:r>
          </w:p>
        </w:tc>
        <w:tc>
          <w:tcPr>
            <w:tcW w:w="41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592</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592</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long-term borrowings</w:t>
            </w:r>
          </w:p>
        </w:tc>
        <w:tc>
          <w:tcPr>
            <w:tcW w:w="41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200</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41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16,762</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21,113</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3,061</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41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246,978</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229,816</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33,317</w:t>
            </w:r>
          </w:p>
        </w:tc>
        <w:tc>
          <w:tcPr>
            <w:tcW w:w="0" w:type="dxa"/>
            <w:vAlign w:val="bottom"/>
          </w:tcPr>
          <w:p>
            <w:pPr>
              <w:spacing w:after="0"/>
              <w:rPr>
                <w:sz w:val="1"/>
                <w:szCs w:val="1"/>
                <w:color w:val="auto"/>
              </w:rPr>
            </w:pPr>
          </w:p>
        </w:tc>
      </w:tr>
      <w:tr>
        <w:trPr>
          <w:trHeight w:val="223"/>
        </w:trPr>
        <w:tc>
          <w:tcPr>
            <w:tcW w:w="4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31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borrowings</w:t>
            </w:r>
          </w:p>
        </w:tc>
        <w:tc>
          <w:tcPr>
            <w:tcW w:w="41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1,700</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1,700</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Non-current portion of operating lease liabilities</w:t>
            </w:r>
          </w:p>
        </w:tc>
        <w:tc>
          <w:tcPr>
            <w:tcW w:w="41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24,458</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27,850</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4,037</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41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11,975</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11,961</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1,734</w:t>
            </w:r>
          </w:p>
        </w:tc>
        <w:tc>
          <w:tcPr>
            <w:tcW w:w="0" w:type="dxa"/>
            <w:vAlign w:val="bottom"/>
          </w:tcPr>
          <w:p>
            <w:pPr>
              <w:spacing w:after="0"/>
              <w:rPr>
                <w:sz w:val="1"/>
                <w:szCs w:val="1"/>
                <w:color w:val="auto"/>
              </w:rPr>
            </w:pPr>
          </w:p>
        </w:tc>
      </w:tr>
      <w:tr>
        <w:trPr>
          <w:trHeight w:val="223"/>
        </w:trPr>
        <w:tc>
          <w:tcPr>
            <w:tcW w:w="4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312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38,133</w:t>
            </w:r>
          </w:p>
        </w:tc>
        <w:tc>
          <w:tcPr>
            <w:tcW w:w="20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41,511</w:t>
            </w:r>
          </w:p>
        </w:tc>
        <w:tc>
          <w:tcPr>
            <w:tcW w:w="2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41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285,111</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271,327</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39,334</w:t>
            </w: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3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80" w:type="dxa"/>
            <w:vAlign w:val="bottom"/>
            <w:vMerge w:val="continue"/>
          </w:tcPr>
          <w:p>
            <w:pPr>
              <w:spacing w:after="0"/>
              <w:rPr>
                <w:sz w:val="18"/>
                <w:szCs w:val="18"/>
                <w:color w:val="auto"/>
              </w:rPr>
            </w:pPr>
          </w:p>
        </w:tc>
        <w:tc>
          <w:tcPr>
            <w:tcW w:w="3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ordinary shares</w:t>
            </w:r>
          </w:p>
        </w:tc>
        <w:tc>
          <w:tcPr>
            <w:tcW w:w="41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120</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Class B ordinary shares</w:t>
            </w:r>
          </w:p>
        </w:tc>
        <w:tc>
          <w:tcPr>
            <w:tcW w:w="41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21</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1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5,010,060</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5,011,868</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(8,291)</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Treasury stock</w:t>
            </w:r>
          </w:p>
        </w:tc>
        <w:tc>
          <w:tcPr>
            <w:tcW w:w="41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(57,193)</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(57,193)</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726,568</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deficits</w:t>
            </w:r>
          </w:p>
        </w:tc>
        <w:tc>
          <w:tcPr>
            <w:tcW w:w="41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(4,255,607)</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(4,273,079)</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(619,466)</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41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(162,137)</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(165,280)</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(23,961)</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41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535,264</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516,457</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74,870</w:t>
            </w:r>
          </w:p>
        </w:tc>
        <w:tc>
          <w:tcPr>
            <w:tcW w:w="0" w:type="dxa"/>
            <w:vAlign w:val="bottom"/>
          </w:tcPr>
          <w:p>
            <w:pPr>
              <w:spacing w:after="0"/>
              <w:rPr>
                <w:sz w:val="1"/>
                <w:szCs w:val="1"/>
                <w:color w:val="auto"/>
              </w:rPr>
            </w:pPr>
          </w:p>
        </w:tc>
      </w:tr>
      <w:tr>
        <w:trPr>
          <w:trHeight w:val="223"/>
        </w:trPr>
        <w:tc>
          <w:tcPr>
            <w:tcW w:w="4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31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820,375</w:t>
            </w:r>
          </w:p>
        </w:tc>
        <w:tc>
          <w:tcPr>
            <w:tcW w:w="2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787,784</w:t>
            </w:r>
          </w:p>
        </w:tc>
        <w:tc>
          <w:tcPr>
            <w:tcW w:w="2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114,204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3120" w:type="dxa"/>
            <w:vAlign w:val="bottom"/>
            <w:vMerge w:val="restart"/>
          </w:tcPr>
          <w:p>
            <w:pPr>
              <w:jc w:val="right"/>
              <w:ind w:right="2411"/>
              <w:spacing w:after="0"/>
              <w:rPr>
                <w:sz w:val="20"/>
                <w:szCs w:val="20"/>
                <w:color w:val="auto"/>
              </w:rPr>
            </w:pPr>
            <w:r>
              <w:rPr>
                <w:rFonts w:ascii="Times New Roman" w:cs="Times New Roman" w:eastAsia="Times New Roman" w:hAnsi="Times New Roman"/>
                <w:sz w:val="18"/>
                <w:szCs w:val="18"/>
                <w:color w:val="auto"/>
              </w:rPr>
              <w:t>10</w:t>
            </w: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980" w:type="dxa"/>
            <w:vAlign w:val="bottom"/>
          </w:tcPr>
          <w:p>
            <w:pPr>
              <w:spacing w:after="0"/>
              <w:rPr>
                <w:sz w:val="24"/>
                <w:szCs w:val="24"/>
                <w:color w:val="auto"/>
              </w:rPr>
            </w:pPr>
          </w:p>
        </w:tc>
        <w:tc>
          <w:tcPr>
            <w:tcW w:w="312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14" w:name="page15"/>
    <w:bookmarkEnd w:id="1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Burning Rock Biotech Limited</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Condensed Statements of Cash Flows</w:t>
      </w:r>
    </w:p>
    <w:p>
      <w:pPr>
        <w:spacing w:after="0" w:line="2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6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248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r>
      <w:tr>
        <w:trPr>
          <w:trHeight w:val="117"/>
        </w:trPr>
        <w:tc>
          <w:tcPr>
            <w:tcW w:w="516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860" w:type="dxa"/>
            <w:vAlign w:val="bottom"/>
            <w:tcBorders>
              <w:top w:val="single" w:sz="8" w:color="auto"/>
            </w:tcBorders>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860" w:type="dxa"/>
            <w:vAlign w:val="bottom"/>
            <w:tcBorders>
              <w:top w:val="single" w:sz="8" w:color="auto"/>
            </w:tcBorders>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6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20" w:type="dxa"/>
            <w:vAlign w:val="bottom"/>
          </w:tcPr>
          <w:p>
            <w:pPr>
              <w:spacing w:after="0"/>
              <w:rPr>
                <w:sz w:val="10"/>
                <w:szCs w:val="10"/>
                <w:color w:val="auto"/>
              </w:rPr>
            </w:pPr>
          </w:p>
        </w:tc>
      </w:tr>
      <w:tr>
        <w:trPr>
          <w:trHeight w:val="173"/>
        </w:trPr>
        <w:tc>
          <w:tcPr>
            <w:tcW w:w="5160" w:type="dxa"/>
            <w:vAlign w:val="bottom"/>
          </w:tcPr>
          <w:p>
            <w:pPr>
              <w:spacing w:after="0"/>
              <w:rPr>
                <w:sz w:val="15"/>
                <w:szCs w:val="15"/>
                <w:color w:val="auto"/>
              </w:rPr>
            </w:pPr>
          </w:p>
        </w:tc>
        <w:tc>
          <w:tcPr>
            <w:tcW w:w="4020" w:type="dxa"/>
            <w:vAlign w:val="bottom"/>
            <w:gridSpan w:val="2"/>
          </w:tcPr>
          <w:p>
            <w:pPr>
              <w:jc w:val="center"/>
              <w:ind w:left="3292"/>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2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5"/>
                <w:szCs w:val="15"/>
                <w:color w:val="auto"/>
              </w:rPr>
            </w:pPr>
          </w:p>
        </w:tc>
      </w:tr>
      <w:tr>
        <w:trPr>
          <w:trHeight w:val="142"/>
        </w:trPr>
        <w:tc>
          <w:tcPr>
            <w:tcW w:w="51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6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6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12"/>
                <w:szCs w:val="12"/>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42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(23,527)</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(29,304)</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(4,248)</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2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(1,531)</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(364)</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generated from financing activities</w:t>
            </w:r>
          </w:p>
        </w:tc>
        <w:tc>
          <w:tcPr>
            <w:tcW w:w="3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on cash, cash equivalents and restricted cash</w:t>
            </w:r>
          </w:p>
        </w:tc>
        <w:tc>
          <w:tcPr>
            <w:tcW w:w="42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302</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(2,690)</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(390)</w:t>
            </w: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decrease in cash, cash equivalents and restricted cash</w:t>
            </w:r>
          </w:p>
        </w:tc>
        <w:tc>
          <w:tcPr>
            <w:tcW w:w="42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(24,756)</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(32,358)</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(4,691)</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the beginning of period</w:t>
            </w:r>
          </w:p>
        </w:tc>
        <w:tc>
          <w:tcPr>
            <w:tcW w:w="42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522,162</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481,088</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69,743</w:t>
            </w: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the end of period</w:t>
            </w:r>
          </w:p>
        </w:tc>
        <w:tc>
          <w:tcPr>
            <w:tcW w:w="4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497,406</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448,730</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65,052</w:t>
            </w:r>
          </w:p>
        </w:tc>
      </w:tr>
      <w:tr>
        <w:trPr>
          <w:trHeight w:val="364"/>
        </w:trPr>
        <w:tc>
          <w:tcPr>
            <w:tcW w:w="5160" w:type="dxa"/>
            <w:vAlign w:val="bottom"/>
          </w:tcPr>
          <w:p>
            <w:pPr>
              <w:spacing w:after="0"/>
              <w:rPr>
                <w:sz w:val="24"/>
                <w:szCs w:val="24"/>
                <w:color w:val="auto"/>
              </w:rPr>
            </w:pPr>
          </w:p>
        </w:tc>
        <w:tc>
          <w:tcPr>
            <w:tcW w:w="3380" w:type="dxa"/>
            <w:vAlign w:val="bottom"/>
          </w:tcPr>
          <w:p>
            <w:pPr>
              <w:jc w:val="right"/>
              <w:ind w:right="2852"/>
              <w:spacing w:after="0"/>
              <w:rPr>
                <w:sz w:val="20"/>
                <w:szCs w:val="20"/>
                <w:color w:val="auto"/>
              </w:rPr>
            </w:pPr>
            <w:r>
              <w:rPr>
                <w:rFonts w:ascii="Times New Roman" w:cs="Times New Roman" w:eastAsia="Times New Roman" w:hAnsi="Times New Roman"/>
                <w:sz w:val="18"/>
                <w:szCs w:val="18"/>
                <w:color w:val="auto"/>
              </w:rPr>
              <w:t>11</w:t>
            </w: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020"/>
          </w:cols>
          <w:pgMar w:left="440" w:top="266" w:right="439" w:bottom="1440" w:gutter="0" w:footer="0" w:header="0"/>
        </w:sectPr>
      </w:pPr>
    </w:p>
    <w:bookmarkStart w:id="15" w:name="page16"/>
    <w:bookmarkEnd w:id="1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Burning Rock Biotech Limited</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Reconciliations of GAAP and Non-GAAP Results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gridSpan w:val="4"/>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6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r>
      <w:tr>
        <w:trPr>
          <w:trHeight w:val="117"/>
        </w:trPr>
        <w:tc>
          <w:tcPr>
            <w:tcW w:w="5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gridSpan w:val="2"/>
          </w:tcPr>
          <w:p>
            <w:pPr>
              <w:jc w:val="right"/>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940" w:type="dxa"/>
            <w:vAlign w:val="bottom"/>
          </w:tcPr>
          <w:p>
            <w:pPr>
              <w:jc w:val="right"/>
              <w:ind w:right="274"/>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140" w:type="dxa"/>
            <w:vAlign w:val="bottom"/>
          </w:tcPr>
          <w:p>
            <w:pPr>
              <w:jc w:val="center"/>
              <w:ind w:right="152"/>
              <w:spacing w:after="0" w:line="118" w:lineRule="exact"/>
              <w:rPr>
                <w:sz w:val="20"/>
                <w:szCs w:val="20"/>
                <w:color w:val="auto"/>
              </w:rPr>
            </w:pPr>
            <w:r>
              <w:rPr>
                <w:rFonts w:ascii="Times New Roman" w:cs="Times New Roman" w:eastAsia="Times New Roman" w:hAnsi="Times New Roman"/>
                <w:sz w:val="13"/>
                <w:szCs w:val="13"/>
                <w:b w:val="1"/>
                <w:bCs w:val="1"/>
                <w:color w:val="auto"/>
              </w:rPr>
              <w:t>September</w:t>
            </w:r>
          </w:p>
        </w:tc>
        <w:tc>
          <w:tcPr>
            <w:tcW w:w="1100" w:type="dxa"/>
            <w:vAlign w:val="bottom"/>
            <w:gridSpan w:val="2"/>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December</w:t>
            </w:r>
          </w:p>
        </w:tc>
        <w:tc>
          <w:tcPr>
            <w:tcW w:w="6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240" w:type="dxa"/>
            <w:vAlign w:val="bottom"/>
          </w:tcPr>
          <w:p>
            <w:pPr>
              <w:spacing w:after="0"/>
              <w:rPr>
                <w:sz w:val="10"/>
                <w:szCs w:val="10"/>
                <w:color w:val="auto"/>
              </w:rPr>
            </w:pPr>
          </w:p>
        </w:tc>
      </w:tr>
      <w:tr>
        <w:trPr>
          <w:trHeight w:val="173"/>
        </w:trPr>
        <w:tc>
          <w:tcPr>
            <w:tcW w:w="5160" w:type="dxa"/>
            <w:vAlign w:val="bottom"/>
          </w:tcPr>
          <w:p>
            <w:pPr>
              <w:spacing w:after="0"/>
              <w:rPr>
                <w:sz w:val="15"/>
                <w:szCs w:val="15"/>
                <w:color w:val="auto"/>
              </w:rPr>
            </w:pPr>
          </w:p>
        </w:tc>
        <w:tc>
          <w:tcPr>
            <w:tcW w:w="1400" w:type="dxa"/>
            <w:vAlign w:val="bottom"/>
            <w:gridSpan w:val="2"/>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Pr>
          <w:p>
            <w:pPr>
              <w:spacing w:after="0"/>
              <w:rPr>
                <w:sz w:val="15"/>
                <w:szCs w:val="15"/>
                <w:color w:val="auto"/>
              </w:rPr>
            </w:pPr>
          </w:p>
        </w:tc>
        <w:tc>
          <w:tcPr>
            <w:tcW w:w="94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40" w:type="dxa"/>
            <w:vAlign w:val="bottom"/>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30, 2025</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31, 2025</w:t>
            </w:r>
          </w:p>
        </w:tc>
        <w:tc>
          <w:tcPr>
            <w:tcW w:w="400" w:type="dxa"/>
            <w:vAlign w:val="bottom"/>
          </w:tcPr>
          <w:p>
            <w:pPr>
              <w:spacing w:after="0"/>
              <w:rPr>
                <w:sz w:val="15"/>
                <w:szCs w:val="15"/>
                <w:color w:val="auto"/>
              </w:rPr>
            </w:pPr>
          </w:p>
        </w:tc>
        <w:tc>
          <w:tcPr>
            <w:tcW w:w="64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5"/>
                <w:szCs w:val="15"/>
                <w:color w:val="auto"/>
              </w:rPr>
            </w:pPr>
          </w:p>
        </w:tc>
      </w:tr>
      <w:tr>
        <w:trPr>
          <w:trHeight w:val="142"/>
        </w:trPr>
        <w:tc>
          <w:tcPr>
            <w:tcW w:w="5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2080" w:type="dxa"/>
            <w:vAlign w:val="bottom"/>
            <w:tcBorders>
              <w:top w:val="single" w:sz="8" w:color="auto"/>
            </w:tcBorders>
            <w:gridSpan w:val="2"/>
          </w:tcPr>
          <w:p>
            <w:pPr>
              <w:jc w:val="center"/>
              <w:ind w:left="614"/>
              <w:spacing w:after="0" w:line="142" w:lineRule="exact"/>
              <w:rPr>
                <w:sz w:val="20"/>
                <w:szCs w:val="20"/>
                <w:color w:val="auto"/>
              </w:rPr>
            </w:pPr>
            <w:r>
              <w:rPr>
                <w:rFonts w:ascii="Times New Roman" w:cs="Times New Roman" w:eastAsia="Times New Roman" w:hAnsi="Times New Roman"/>
                <w:sz w:val="14"/>
                <w:szCs w:val="14"/>
                <w:b w:val="1"/>
                <w:bCs w:val="1"/>
                <w:color w:val="auto"/>
              </w:rPr>
              <w:t>(RMB in thousands)</w:t>
            </w:r>
          </w:p>
        </w:tc>
        <w:tc>
          <w:tcPr>
            <w:tcW w:w="70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Central laboratory channel</w:t>
            </w:r>
          </w:p>
        </w:tc>
        <w:tc>
          <w:tcPr>
            <w:tcW w:w="18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32,191</w:t>
            </w:r>
          </w:p>
        </w:tc>
        <w:tc>
          <w:tcPr>
            <w:tcW w:w="94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35,937</w:t>
            </w:r>
          </w:p>
        </w:tc>
        <w:tc>
          <w:tcPr>
            <w:tcW w:w="11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30,126</w:t>
            </w: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39,322</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28,761</w:t>
            </w: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In-hospital channel</w:t>
            </w:r>
          </w:p>
        </w:tc>
        <w:tc>
          <w:tcPr>
            <w:tcW w:w="18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43,895</w:t>
            </w:r>
          </w:p>
        </w:tc>
        <w:tc>
          <w:tcPr>
            <w:tcW w:w="94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46,490</w:t>
            </w:r>
          </w:p>
        </w:tc>
        <w:tc>
          <w:tcPr>
            <w:tcW w:w="11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37,925</w:t>
            </w: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38,388</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38,458</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Pharma research and development channel</w:t>
            </w:r>
          </w:p>
        </w:tc>
        <w:tc>
          <w:tcPr>
            <w:tcW w:w="18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21,315</w:t>
            </w:r>
          </w:p>
        </w:tc>
        <w:tc>
          <w:tcPr>
            <w:tcW w:w="94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25,676</w:t>
            </w:r>
          </w:p>
        </w:tc>
        <w:tc>
          <w:tcPr>
            <w:tcW w:w="11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30,793</w:t>
            </w: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20,856</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10,789</w:t>
            </w: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gross profit</w:t>
            </w:r>
          </w:p>
        </w:tc>
        <w:tc>
          <w:tcPr>
            <w:tcW w:w="18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97,401</w:t>
            </w:r>
          </w:p>
        </w:tc>
        <w:tc>
          <w:tcPr>
            <w:tcW w:w="94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b w:val="1"/>
                <w:bCs w:val="1"/>
                <w:color w:val="auto"/>
              </w:rPr>
              <w:t>108,103</w:t>
            </w:r>
          </w:p>
        </w:tc>
        <w:tc>
          <w:tcPr>
            <w:tcW w:w="11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98,844</w:t>
            </w: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98,566</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78,008</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Add: depreciation and amortization:</w:t>
            </w: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Central laboratory channel</w:t>
            </w:r>
          </w:p>
        </w:tc>
        <w:tc>
          <w:tcPr>
            <w:tcW w:w="18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562</w:t>
            </w:r>
          </w:p>
        </w:tc>
        <w:tc>
          <w:tcPr>
            <w:tcW w:w="94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456</w:t>
            </w:r>
          </w:p>
        </w:tc>
        <w:tc>
          <w:tcPr>
            <w:tcW w:w="11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231</w:t>
            </w: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490</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412</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In-hospital channel</w:t>
            </w:r>
          </w:p>
        </w:tc>
        <w:tc>
          <w:tcPr>
            <w:tcW w:w="18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290</w:t>
            </w:r>
          </w:p>
        </w:tc>
        <w:tc>
          <w:tcPr>
            <w:tcW w:w="94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389</w:t>
            </w:r>
          </w:p>
        </w:tc>
        <w:tc>
          <w:tcPr>
            <w:tcW w:w="11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372</w:t>
            </w: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308</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228</w:t>
            </w: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Pharma research and development channel</w:t>
            </w:r>
          </w:p>
        </w:tc>
        <w:tc>
          <w:tcPr>
            <w:tcW w:w="18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2,412</w:t>
            </w:r>
          </w:p>
        </w:tc>
        <w:tc>
          <w:tcPr>
            <w:tcW w:w="94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1,528</w:t>
            </w:r>
          </w:p>
        </w:tc>
        <w:tc>
          <w:tcPr>
            <w:tcW w:w="11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1,491</w:t>
            </w: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2,057</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1,885</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depreciation and amortization included in cost of revenues</w:t>
            </w:r>
          </w:p>
        </w:tc>
        <w:tc>
          <w:tcPr>
            <w:tcW w:w="18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3,264</w:t>
            </w:r>
          </w:p>
        </w:tc>
        <w:tc>
          <w:tcPr>
            <w:tcW w:w="940" w:type="dxa"/>
            <w:vAlign w:val="bottom"/>
          </w:tcPr>
          <w:p>
            <w:pPr>
              <w:jc w:val="right"/>
              <w:ind w:right="194"/>
              <w:spacing w:after="0"/>
              <w:rPr>
                <w:sz w:val="20"/>
                <w:szCs w:val="20"/>
                <w:color w:val="auto"/>
              </w:rPr>
            </w:pPr>
            <w:r>
              <w:rPr>
                <w:rFonts w:ascii="Times New Roman" w:cs="Times New Roman" w:eastAsia="Times New Roman" w:hAnsi="Times New Roman"/>
                <w:sz w:val="18"/>
                <w:szCs w:val="18"/>
                <w:b w:val="1"/>
                <w:bCs w:val="1"/>
                <w:color w:val="auto"/>
              </w:rPr>
              <w:t>2,373</w:t>
            </w:r>
          </w:p>
        </w:tc>
        <w:tc>
          <w:tcPr>
            <w:tcW w:w="114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2,094</w:t>
            </w: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2,855</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2,525</w:t>
            </w: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gross profit:</w:t>
            </w: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Central laboratory channel</w:t>
            </w:r>
          </w:p>
        </w:tc>
        <w:tc>
          <w:tcPr>
            <w:tcW w:w="18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32,753</w:t>
            </w:r>
          </w:p>
        </w:tc>
        <w:tc>
          <w:tcPr>
            <w:tcW w:w="94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36,393</w:t>
            </w:r>
          </w:p>
        </w:tc>
        <w:tc>
          <w:tcPr>
            <w:tcW w:w="11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30,357</w:t>
            </w: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39,812</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29,173</w:t>
            </w: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In-hospital channel</w:t>
            </w:r>
          </w:p>
        </w:tc>
        <w:tc>
          <w:tcPr>
            <w:tcW w:w="18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44,185</w:t>
            </w:r>
          </w:p>
        </w:tc>
        <w:tc>
          <w:tcPr>
            <w:tcW w:w="94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46,879</w:t>
            </w:r>
          </w:p>
        </w:tc>
        <w:tc>
          <w:tcPr>
            <w:tcW w:w="11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38,297</w:t>
            </w: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38,696</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38,686</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Pharma research and development channel</w:t>
            </w:r>
          </w:p>
        </w:tc>
        <w:tc>
          <w:tcPr>
            <w:tcW w:w="18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23,727</w:t>
            </w:r>
          </w:p>
        </w:tc>
        <w:tc>
          <w:tcPr>
            <w:tcW w:w="94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27,204</w:t>
            </w:r>
          </w:p>
        </w:tc>
        <w:tc>
          <w:tcPr>
            <w:tcW w:w="11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32,284</w:t>
            </w: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22,913</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12,674</w:t>
            </w: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non-GAAP gross profit</w:t>
            </w:r>
          </w:p>
        </w:tc>
        <w:tc>
          <w:tcPr>
            <w:tcW w:w="18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100,665</w:t>
            </w:r>
          </w:p>
        </w:tc>
        <w:tc>
          <w:tcPr>
            <w:tcW w:w="94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b w:val="1"/>
                <w:bCs w:val="1"/>
                <w:color w:val="auto"/>
              </w:rPr>
              <w:t>110,476</w:t>
            </w:r>
          </w:p>
        </w:tc>
        <w:tc>
          <w:tcPr>
            <w:tcW w:w="11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100,938</w:t>
            </w: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101,421</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80,533</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Non-GAAP gross margin:</w:t>
            </w: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Central laboratory channel</w:t>
            </w:r>
          </w:p>
        </w:tc>
        <w:tc>
          <w:tcPr>
            <w:tcW w:w="18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85.5%</w:t>
            </w: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89.1%</w:t>
            </w:r>
          </w:p>
        </w:tc>
        <w:tc>
          <w:tcPr>
            <w:tcW w:w="11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82.5%</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90.4%</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90.0%</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In-hospital channel</w:t>
            </w:r>
          </w:p>
        </w:tc>
        <w:tc>
          <w:tcPr>
            <w:tcW w:w="18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76.6%</w:t>
            </w: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75.0%</w:t>
            </w: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72.5%</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75.9%</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73.3%</w:t>
            </w: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Pharma research and development channel</w:t>
            </w:r>
          </w:p>
        </w:tc>
        <w:tc>
          <w:tcPr>
            <w:tcW w:w="18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64.0%</w:t>
            </w: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60.2%</w:t>
            </w:r>
          </w:p>
        </w:tc>
        <w:tc>
          <w:tcPr>
            <w:tcW w:w="11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76.9%</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73.2%</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55.7%</w:t>
            </w:r>
          </w:p>
        </w:tc>
      </w:tr>
      <w:tr>
        <w:trPr>
          <w:trHeight w:val="238"/>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non-GAAP gross margin</w:t>
            </w:r>
          </w:p>
        </w:tc>
        <w:tc>
          <w:tcPr>
            <w:tcW w:w="18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75.6%</w:t>
            </w: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74.4%</w:t>
            </w: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76.7%</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80.3%</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74.6%</w:t>
            </w:r>
          </w:p>
        </w:tc>
      </w:tr>
      <w:tr>
        <w:trPr>
          <w:trHeight w:val="342"/>
        </w:trPr>
        <w:tc>
          <w:tcPr>
            <w:tcW w:w="5160" w:type="dxa"/>
            <w:vAlign w:val="bottom"/>
          </w:tcPr>
          <w:p>
            <w:pPr>
              <w:spacing w:after="0"/>
              <w:rPr>
                <w:sz w:val="24"/>
                <w:szCs w:val="24"/>
                <w:color w:val="auto"/>
              </w:rPr>
            </w:pPr>
          </w:p>
        </w:tc>
        <w:tc>
          <w:tcPr>
            <w:tcW w:w="74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12</w:t>
            </w: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lvl w:ilvl="1">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2026-06-09T05:08:58Z</dcterms:created>
  <dcterms:modified xsi:type="dcterms:W3CDTF">2026-06-09T05:08:58Z</dcterms:modified>
</cp:coreProperties>
</file>