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Xu Licen Lisa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17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03/17/2026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Burning Rock Biotech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BNR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00" w:type="dxa"/>
            <w:vAlign w:val="bottom"/>
          </w:tcPr>
          <w:p>
            <w:pPr>
              <w:ind w:left="40"/>
              <w:spacing w:after="0"/>
              <w:rPr>
                <w:sz w:val="20"/>
                <w:szCs w:val="20"/>
                <w:color w:val="auto"/>
              </w:rPr>
            </w:pPr>
            <w:r>
              <w:rPr>
                <w:rFonts w:ascii="Arial" w:cs="Arial" w:eastAsia="Arial" w:hAnsi="Arial"/>
                <w:sz w:val="15"/>
                <w:szCs w:val="15"/>
                <w:color w:val="auto"/>
              </w:rPr>
              <w:t>(Last)</w:t>
            </w:r>
          </w:p>
        </w:tc>
        <w:tc>
          <w:tcPr>
            <w:tcW w:w="1220" w:type="dxa"/>
            <w:vAlign w:val="bottom"/>
          </w:tcPr>
          <w:p>
            <w:pPr>
              <w:ind w:left="260"/>
              <w:spacing w:after="0"/>
              <w:rPr>
                <w:sz w:val="20"/>
                <w:szCs w:val="20"/>
                <w:color w:val="auto"/>
              </w:rPr>
            </w:pPr>
            <w:r>
              <w:rPr>
                <w:rFonts w:ascii="Arial" w:cs="Arial" w:eastAsia="Arial" w:hAnsi="Arial"/>
                <w:sz w:val="15"/>
                <w:szCs w:val="15"/>
                <w:color w:val="auto"/>
              </w:rPr>
              <w:t>(First)</w:t>
            </w:r>
          </w:p>
        </w:tc>
        <w:tc>
          <w:tcPr>
            <w:tcW w:w="1080" w:type="dxa"/>
            <w:vAlign w:val="bottom"/>
          </w:tcPr>
          <w:p>
            <w:pPr>
              <w:ind w:left="8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20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8"/>
              </w:rPr>
              <w:t>3463 ASHTON COURT</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800" w:type="dxa"/>
            <w:vAlign w:val="bottom"/>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PALO</w:t>
            </w:r>
          </w:p>
        </w:tc>
        <w:tc>
          <w:tcPr>
            <w:tcW w:w="12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CA</w:t>
            </w:r>
          </w:p>
        </w:tc>
        <w:tc>
          <w:tcPr>
            <w:tcW w:w="1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94306</w:t>
            </w:r>
          </w:p>
        </w:tc>
        <w:tc>
          <w:tcPr>
            <w:tcW w:w="0" w:type="dxa"/>
            <w:vAlign w:val="bottom"/>
          </w:tcPr>
          <w:p>
            <w:pPr>
              <w:spacing w:after="0"/>
              <w:rPr>
                <w:sz w:val="1"/>
                <w:szCs w:val="1"/>
                <w:color w:val="auto"/>
              </w:rPr>
            </w:pPr>
          </w:p>
        </w:tc>
      </w:tr>
      <w:tr>
        <w:trPr>
          <w:trHeight w:val="134"/>
        </w:trPr>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ALTO</w:t>
            </w:r>
          </w:p>
        </w:tc>
        <w:tc>
          <w:tcPr>
            <w:tcW w:w="12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22,718</w:t>
            </w:r>
          </w:p>
        </w:tc>
        <w:tc>
          <w:tcPr>
            <w:tcW w:w="440" w:type="dxa"/>
            <w:vAlign w:val="bottom"/>
          </w:tcPr>
          <w:p>
            <w:pPr>
              <w:spacing w:after="0"/>
              <w:rPr>
                <w:sz w:val="22"/>
                <w:szCs w:val="22"/>
                <w:color w:val="auto"/>
              </w:rPr>
            </w:pP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0000FF"/>
                <w:w w:val="96"/>
              </w:rPr>
              <w:t>D</w:t>
            </w: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880" w:type="dxa"/>
            <w:vAlign w:val="bottom"/>
            <w:tcBorders>
              <w:bottom w:val="single" w:sz="8" w:color="2C2C2C"/>
            </w:tcBorders>
            <w:gridSpan w:val="4"/>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gridSpan w:val="2"/>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80" w:type="dxa"/>
            <w:vAlign w:val="bottom"/>
            <w:tcBorders>
              <w:top w:val="single" w:sz="8" w:color="2C2C2C"/>
            </w:tcBorders>
            <w:gridSpan w:val="9"/>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0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4"/>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gridSpan w:val="3"/>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gridSpan w:val="2"/>
            <w:vMerge w:val="restart"/>
          </w:tcPr>
          <w:p>
            <w:pPr>
              <w:ind w:left="6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3"/>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40" w:type="dxa"/>
            <w:vAlign w:val="bottom"/>
            <w:gridSpan w:val="3"/>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940" w:type="dxa"/>
            <w:vAlign w:val="bottom"/>
            <w:gridSpan w:val="3"/>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gridSpan w:val="2"/>
          </w:tcPr>
          <w:p>
            <w:pPr>
              <w:ind w:left="6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3"/>
          </w:tcPr>
          <w:p>
            <w:pPr>
              <w:ind w:left="300"/>
              <w:spacing w:after="0"/>
              <w:rPr>
                <w:sz w:val="20"/>
                <w:szCs w:val="20"/>
                <w:color w:val="auto"/>
              </w:rPr>
            </w:pPr>
            <w:r>
              <w:rPr>
                <w:rFonts w:ascii="Arial" w:cs="Arial" w:eastAsia="Arial" w:hAnsi="Arial"/>
                <w:sz w:val="15"/>
                <w:szCs w:val="15"/>
                <w:b w:val="1"/>
                <w:bCs w:val="1"/>
                <w:color w:val="auto"/>
              </w:rPr>
              <w:t>Shares</w:t>
            </w: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Exhibit 24 (Power of Attorney)</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0000FF"/>
                <w:w w:val="94"/>
              </w:rPr>
              <w:t>/s/ Yuheng Huang,</w:t>
            </w:r>
          </w:p>
        </w:tc>
        <w:tc>
          <w:tcPr>
            <w:tcW w:w="500" w:type="dxa"/>
            <w:vAlign w:val="bottom"/>
            <w:gridSpan w:val="2"/>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40" w:type="dxa"/>
            <w:vAlign w:val="bottom"/>
            <w:gridSpan w:val="6"/>
          </w:tcPr>
          <w:p>
            <w:pPr>
              <w:spacing w:after="0" w:line="220" w:lineRule="exact"/>
              <w:rPr>
                <w:sz w:val="20"/>
                <w:szCs w:val="20"/>
                <w:color w:val="auto"/>
              </w:rPr>
            </w:pPr>
            <w:r>
              <w:rPr>
                <w:rFonts w:ascii="Times New Roman" w:cs="Times New Roman" w:eastAsia="Times New Roman" w:hAnsi="Times New Roman"/>
                <w:sz w:val="20"/>
                <w:szCs w:val="20"/>
                <w:color w:val="0000FF"/>
                <w:w w:val="99"/>
              </w:rPr>
              <w:t>Attorney-in-Fact for Xu</w:t>
            </w:r>
          </w:p>
        </w:tc>
        <w:tc>
          <w:tcPr>
            <w:tcW w:w="2400" w:type="dxa"/>
            <w:vAlign w:val="bottom"/>
            <w:gridSpan w:val="4"/>
          </w:tcPr>
          <w:p>
            <w:pPr>
              <w:jc w:val="right"/>
              <w:ind w:right="1260"/>
              <w:spacing w:after="0" w:line="220" w:lineRule="exact"/>
              <w:rPr>
                <w:sz w:val="20"/>
                <w:szCs w:val="20"/>
                <w:color w:val="auto"/>
              </w:rPr>
            </w:pPr>
            <w:r>
              <w:rPr>
                <w:rFonts w:ascii="Times New Roman" w:cs="Times New Roman" w:eastAsia="Times New Roman" w:hAnsi="Times New Roman"/>
                <w:sz w:val="20"/>
                <w:szCs w:val="20"/>
                <w:color w:val="0000FF"/>
              </w:rPr>
              <w:t>03/17/2026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2"/>
              </w:rPr>
              <w:t>Licen</w:t>
            </w:r>
          </w:p>
        </w:tc>
        <w:tc>
          <w:tcPr>
            <w:tcW w:w="560" w:type="dxa"/>
            <w:vAlign w:val="bottom"/>
            <w:tcBorders>
              <w:top w:val="single" w:sz="8" w:color="auto"/>
            </w:tcBorders>
            <w:gridSpan w:val="2"/>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99" w:lineRule="exact"/>
        <w:rPr>
          <w:sz w:val="20"/>
          <w:szCs w:val="20"/>
          <w:color w:val="auto"/>
        </w:rPr>
      </w:pPr>
    </w:p>
    <w:p>
      <w:pPr>
        <w:ind w:left="80" w:right="20" w:firstLine="923"/>
        <w:spacing w:after="0" w:line="249"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Yanli Xu, Dongyue Zheng, Yuheng Huang and Kaiyan Chen acting singly, and with full power of substitution or revocation,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98" w:lineRule="exact"/>
        <w:rPr>
          <w:sz w:val="20"/>
          <w:szCs w:val="20"/>
          <w:color w:val="auto"/>
        </w:rPr>
      </w:pPr>
    </w:p>
    <w:p>
      <w:pPr>
        <w:jc w:val="both"/>
        <w:ind w:left="800" w:right="20" w:hanging="345"/>
        <w:spacing w:after="0" w:line="247" w:lineRule="auto"/>
        <w:tabs>
          <w:tab w:leader="none" w:pos="80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execute and submit to the SEC, and/or any national securities exchange on which Burning Rock Biotech Limited (the “Company”) securities are listed, any and all reports (including any amendments thereto) the undersigned is required to file with the SEC under Section 16 of the Exchange Act or any rule or regulation thereunder, or under Rule 144 under the Securities Act of 1933 (“Rule 144”), with respect to the any security of the Company, including Forms 3, 4 and 5, Schedules 13D and 13G, and Forms 144; and</w:t>
      </w:r>
    </w:p>
    <w:p>
      <w:pPr>
        <w:spacing w:after="0" w:line="213" w:lineRule="exact"/>
        <w:rPr>
          <w:rFonts w:ascii="Times New Roman" w:cs="Times New Roman" w:eastAsia="Times New Roman" w:hAnsi="Times New Roman"/>
          <w:sz w:val="21"/>
          <w:szCs w:val="21"/>
          <w:color w:val="auto"/>
        </w:rPr>
      </w:pPr>
    </w:p>
    <w:p>
      <w:pPr>
        <w:jc w:val="both"/>
        <w:ind w:left="800" w:right="20" w:hanging="345"/>
        <w:spacing w:after="0" w:line="249" w:lineRule="auto"/>
        <w:tabs>
          <w:tab w:leader="none" w:pos="80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 ct.</w:t>
      </w:r>
    </w:p>
    <w:p>
      <w:pPr>
        <w:spacing w:after="0" w:line="1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1"/>
          <w:szCs w:val="21"/>
          <w:color w:val="auto"/>
        </w:rPr>
        <w:t>The undersigned acknowledges that:</w:t>
      </w:r>
    </w:p>
    <w:p>
      <w:pPr>
        <w:spacing w:after="0" w:line="254" w:lineRule="exact"/>
        <w:rPr>
          <w:sz w:val="20"/>
          <w:szCs w:val="20"/>
          <w:color w:val="auto"/>
        </w:rPr>
      </w:pPr>
    </w:p>
    <w:p>
      <w:pPr>
        <w:ind w:left="800" w:right="20" w:hanging="345"/>
        <w:spacing w:after="0" w:line="272" w:lineRule="auto"/>
        <w:tabs>
          <w:tab w:leader="none" w:pos="80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Power of Attorney authorizes, but does not require, the Attorney-in-Fact to act in his or her discretion on information provided to such Attorney-in-Fact without independent verification of such information;</w:t>
      </w:r>
    </w:p>
    <w:p>
      <w:pPr>
        <w:spacing w:after="0" w:line="187" w:lineRule="exact"/>
        <w:rPr>
          <w:rFonts w:ascii="Times New Roman" w:cs="Times New Roman" w:eastAsia="Times New Roman" w:hAnsi="Times New Roman"/>
          <w:sz w:val="21"/>
          <w:szCs w:val="21"/>
          <w:color w:val="auto"/>
        </w:rPr>
      </w:pPr>
    </w:p>
    <w:p>
      <w:pPr>
        <w:jc w:val="both"/>
        <w:ind w:left="800" w:right="20" w:hanging="345"/>
        <w:spacing w:after="0" w:line="255" w:lineRule="auto"/>
        <w:tabs>
          <w:tab w:leader="none" w:pos="80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90" w:lineRule="exact"/>
        <w:rPr>
          <w:rFonts w:ascii="Times New Roman" w:cs="Times New Roman" w:eastAsia="Times New Roman" w:hAnsi="Times New Roman"/>
          <w:sz w:val="21"/>
          <w:szCs w:val="21"/>
          <w:color w:val="auto"/>
        </w:rPr>
      </w:pPr>
    </w:p>
    <w:p>
      <w:pPr>
        <w:jc w:val="both"/>
        <w:ind w:left="800" w:right="20" w:hanging="345"/>
        <w:spacing w:after="0" w:line="249" w:lineRule="auto"/>
        <w:tabs>
          <w:tab w:leader="none" w:pos="80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98" w:lineRule="exact"/>
        <w:rPr>
          <w:rFonts w:ascii="Times New Roman" w:cs="Times New Roman" w:eastAsia="Times New Roman" w:hAnsi="Times New Roman"/>
          <w:sz w:val="21"/>
          <w:szCs w:val="21"/>
          <w:color w:val="auto"/>
        </w:rPr>
      </w:pPr>
    </w:p>
    <w:p>
      <w:pPr>
        <w:jc w:val="both"/>
        <w:ind w:left="800" w:right="20" w:hanging="345"/>
        <w:spacing w:after="0" w:line="255" w:lineRule="auto"/>
        <w:tabs>
          <w:tab w:leader="none" w:pos="80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266" w:lineRule="exact"/>
        <w:rPr>
          <w:sz w:val="20"/>
          <w:szCs w:val="20"/>
          <w:color w:val="auto"/>
        </w:rPr>
      </w:pPr>
    </w:p>
    <w:p>
      <w:pPr>
        <w:jc w:val="both"/>
        <w:ind w:left="80" w:right="40" w:firstLine="973"/>
        <w:spacing w:after="0" w:line="247" w:lineRule="auto"/>
        <w:rPr>
          <w:sz w:val="20"/>
          <w:szCs w:val="20"/>
          <w:color w:val="auto"/>
        </w:rPr>
      </w:pPr>
      <w:r>
        <w:rPr>
          <w:rFonts w:ascii="Times New Roman" w:cs="Times New Roman" w:eastAsia="Times New Roman" w:hAnsi="Times New Roman"/>
          <w:sz w:val="21"/>
          <w:szCs w:val="21"/>
          <w:color w:val="auto"/>
        </w:rPr>
        <w:t>The undersigned hereby grants to the Attorney-in-Fact full power and authority to do and perform any and every act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273" w:lineRule="exact"/>
        <w:rPr>
          <w:sz w:val="20"/>
          <w:szCs w:val="20"/>
          <w:color w:val="auto"/>
        </w:rPr>
      </w:pPr>
    </w:p>
    <w:p>
      <w:pPr>
        <w:ind w:left="80" w:firstLine="923"/>
        <w:spacing w:after="0" w:line="249"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554990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800"/>
          </w:cols>
          <w:pgMar w:left="520" w:top="1440" w:right="579" w:bottom="1440" w:gutter="0" w:footer="0" w:header="0"/>
        </w:sectPr>
      </w:pPr>
    </w:p>
    <w:bookmarkStart w:id="2" w:name="page3"/>
    <w:bookmarkEnd w:id="2"/>
    <w:p>
      <w:pPr>
        <w:spacing w:after="0" w:line="305"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as of March 17, 2026.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Name: Licen Xu</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Signature: /s/ Licen Xu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4"/>
          <w:szCs w:val="2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564515</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9979"/>
      </w:cols>
      <w:pgMar w:left="4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15029" TargetMode="External"/><Relationship Id="rId11" Type="http://schemas.openxmlformats.org/officeDocument/2006/relationships/hyperlink" Target="http://www.sec.gov/cgi-bin/browse-edgar?action=getcompany&amp;CIK=00017922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2026-03-17T08:46:26Z</dcterms:created>
  <dcterms:modified xsi:type="dcterms:W3CDTF">2026-03-17T08:46:26Z</dcterms:modified>
</cp:coreProperties>
</file>