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206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0000FF"/>
        </w:rPr>
        <w:t>Burning Rock Biotech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600"/>
        <w:spacing w:after="0" w:line="262" w:lineRule="auto"/>
        <w:rPr>
          <w:sz w:val="20"/>
          <w:szCs w:val="20"/>
          <w:color w:val="auto"/>
        </w:rPr>
      </w:pPr>
      <w:r>
        <w:rPr>
          <w:rFonts w:ascii="Times New Roman" w:cs="Times New Roman" w:eastAsia="Times New Roman" w:hAnsi="Times New Roman"/>
          <w:sz w:val="22"/>
          <w:szCs w:val="22"/>
          <w:b w:val="1"/>
          <w:bCs w:val="1"/>
          <w:color w:val="0000FF"/>
        </w:rPr>
        <w:t>American Depository Shares ("ADSs") of the Issuer, each ADS representing ten Class A Ordinary Shares, par value $0.0002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CRCM INSTITUTIONAL MASTER FUND (BVI),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ectPr>
          <w:pgSz w:w="11900" w:h="16884" w:orient="portrait"/>
          <w:cols w:equalWidth="0" w:num="1">
            <w:col w:w="10920"/>
          </w:cols>
          <w:pgMar w:left="360" w:top="866" w:right="61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275,025.00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275,025.00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275,025.00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7" w:orient="portrait"/>
          <w:cols w:equalWidth="0" w:num="2">
            <w:col w:w="1100" w:space="60"/>
            <w:col w:w="9920"/>
          </w:cols>
          <w:pgMar w:left="320" w:top="166" w:right="49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6: Each ADS represents ten (10) Class A Ordinary Shares,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$0.0002 per share. Note to Row 11: Based on 88,138,581 shares of Class A Ordinary Shares, par value $0.0002 per share issued and outstanding as of March 31, 2026, as indicated in the Issuer's annual report on Form 20F filed with the Securities and Exchange Commission by the Issuer on April 28,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CRCM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282,097.00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282,097.00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080"/>
          </w:cols>
          <w:pgMar w:left="320" w:top="166" w:right="4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282,097.00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6: Each ADS represents ten (10) Class A Ordinary Shares,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$0.0002 per share. Note to Row 11: Based on 88,138,581 shares of Class A Ordinary Shares, par value $0.0002 per share issued and outstanding as of March 31, 2026, as indicated in the Issuer's annual report on Form 20F filed with the Securities and Exchange Commission by the Issuer on April 28,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CRCM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355"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282,097.00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282,097.00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282,097.00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20"/>
          </w:cols>
          <w:pgMar w:left="320" w:top="355" w:right="49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6: Each ADS represents ten (10) Class A Ordinary Shares, par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$0.0002 per share. Note to Row 11: Based on 88,138,581 shares of Class A Ordinary Shares, par value $0.0002 per share issued</w:t>
      </w:r>
    </w:p>
    <w:p>
      <w:pPr>
        <w:sectPr>
          <w:pgSz w:w="11900" w:h="16838" w:orient="portrait"/>
          <w:cols w:equalWidth="0" w:num="1">
            <w:col w:w="11080"/>
          </w:cols>
          <w:pgMar w:left="320" w:top="355" w:right="499" w:bottom="0" w:gutter="0" w:footer="0" w:header="0"/>
          <w:type w:val="continuous"/>
        </w:sectPr>
      </w:pPr>
    </w:p>
    <w:bookmarkStart w:id="3" w:name="page4"/>
    <w:bookmarkEnd w:id="3"/>
    <w:p>
      <w:pPr>
        <w:ind w:right="580"/>
        <w:spacing w:after="0" w:line="259" w:lineRule="auto"/>
        <w:rPr>
          <w:sz w:val="20"/>
          <w:szCs w:val="20"/>
          <w:color w:val="auto"/>
        </w:rPr>
      </w:pPr>
      <w:r>
        <w:rPr>
          <w:rFonts w:ascii="Times New Roman" w:cs="Times New Roman" w:eastAsia="Times New Roman" w:hAnsi="Times New Roman"/>
          <w:sz w:val="22"/>
          <w:szCs w:val="22"/>
          <w:color w:val="auto"/>
        </w:rPr>
        <w:t>and outstanding as of March 31, 2026, as indicated in the Issuer's annual report on Form 20F filed with the Securities and Exchange Commission by the Issuer on April 28,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Ding Chun 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12"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SAINT KITTS AND NEVIS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282,097.00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282,097.00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282,097.00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20"/>
          </w:cols>
          <w:pgMar w:left="320" w:top="112" w:right="49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6: Each ADS represents ten (10) Class A Ordinary Shares,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$0.0002 per share. Note to Row 11: Based on 88,138,581 shares of Class A Ordinary Shares, par value $0.0002 per share issued and outstanding as of March 31, 2026, as indicated in the Issuer's annual report on Form 20F filed with the Securities and Exchange Commission by the Issuer on April 28,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Burning Rock Biotech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No.5 Xingdao Ring Road North, International Bio Island, Guangzhou, China, 510005</w:t>
      </w:r>
    </w:p>
    <w:p>
      <w:pPr>
        <w:sectPr>
          <w:pgSz w:w="11900" w:h="16838" w:orient="portrait"/>
          <w:cols w:equalWidth="0" w:num="1">
            <w:col w:w="11080"/>
          </w:cols>
          <w:pgMar w:left="320" w:top="112" w:right="4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1180" w:hanging="254"/>
        <w:spacing w:after="0"/>
        <w:tabs>
          <w:tab w:leader="none" w:pos="11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CRCM Institutional Master Fund (BVI), Ltd., a British Virgin Islands limited company ("CRCM Master Fund");</w:t>
      </w:r>
    </w:p>
    <w:p>
      <w:pPr>
        <w:spacing w:after="0" w:line="14" w:lineRule="exact"/>
        <w:rPr>
          <w:rFonts w:ascii="Times New Roman" w:cs="Times New Roman" w:eastAsia="Times New Roman" w:hAnsi="Times New Roman"/>
          <w:sz w:val="22"/>
          <w:szCs w:val="22"/>
          <w:color w:val="auto"/>
        </w:rPr>
      </w:pPr>
    </w:p>
    <w:p>
      <w:pPr>
        <w:ind w:left="1240" w:hanging="314"/>
        <w:spacing w:after="0"/>
        <w:tabs>
          <w:tab w:leader="none" w:pos="1240"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CRCM LP, a Delaware limited partnership and the investment manager ("Investment Manager") of CRCM Master</w:t>
      </w:r>
    </w:p>
    <w:p>
      <w:pPr>
        <w:spacing w:after="0" w:line="1" w:lineRule="exact"/>
        <w:rPr>
          <w:rFonts w:ascii="Times New Roman" w:cs="Times New Roman" w:eastAsia="Times New Roman" w:hAnsi="Times New Roman"/>
          <w:sz w:val="21"/>
          <w:szCs w:val="21"/>
          <w:color w:val="auto"/>
        </w:rPr>
      </w:pPr>
    </w:p>
    <w:p>
      <w:pPr>
        <w:ind w:left="920" w:right="300" w:hanging="912"/>
        <w:spacing w:after="0" w:line="233"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and separately managed account clients (the "Managed Accounts"); (iii) CRCM LLC, a Delaware limited liability company and the general partner (the "General Partner") of the Investment Manager, with respect to the shares held by the CRCM Master Fund and the Managed Accounts; and (iv) Chun R. Ding ("Ding"), is a citizen of St. Kits and Nevis and the managing partner of the Investment Manager, the manager of the General Partner, with respect to the shares held by the CRCM Master Fund and the Managed Accounts.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 (i) CRCM Master Fund (c/o CRCM) is 475 Sansome Street, Suite 730, San Francisco, CA 94111; (ii-iv) the Investment Manager, the General Partner, and Mr. Ding (c/o CRCM) is 475 Sansome Street, Suite 730, San Francisco, CA 94111.</w:t>
      </w:r>
    </w:p>
    <w:p>
      <w:pPr>
        <w:sectPr>
          <w:pgSz w:w="11900" w:h="16838" w:orient="portrait"/>
          <w:cols w:equalWidth="0" w:num="1">
            <w:col w:w="11140"/>
          </w:cols>
          <w:pgMar w:left="360" w:top="112" w:right="39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citizenship of each Reporting Person is set forth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American Depository Shares ("ADSs") of the Issuer, each ADS representing ten Class A Ordinary Shares, par value $0.0002 per share.</w:t>
      </w: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is set forth in Rows 5 through 11 of the cover page for each Reporting Person is incorporated herein by reference for each such Reporting Person.</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180"/>
        <w:spacing w:after="0" w:line="253" w:lineRule="auto"/>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1"/>
          <w:szCs w:val="21"/>
          <w:color w:val="auto"/>
        </w:rPr>
        <w:t>The ADSs reported hereby for the CRCM Master Fund are owned directly by the fund. The Investment Manager, as investment manager of the CRCM Master Fund and the Managed Accounts, may be deemed to be the beneficial</w:t>
      </w:r>
    </w:p>
    <w:p>
      <w:pPr>
        <w:ind w:left="920" w:right="100" w:hanging="912"/>
        <w:spacing w:after="0" w:line="209"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owner of all such ADSs owned by the CRCM Master Fund and the Managed Accounts. The General Partner, as general partner of the Investment Manager, may be deemed to be the beneficial owner of all of such ADSs owned by the CRCM Master Fund and the Managed Accounts. Mr. Ding, as managing partner of the Investment Manager, and manager of the General Partner with the power to exercise investment discretion, may be deemed to be the beneficial owner of all such ADSs owned by the CRCM Master Fund and the Managed Accounts. Each of the Investment Manager, the General Partner and Mr. Ding hereby disclaims any beneficial ownership of any such ADSs. %</w:t>
      </w:r>
    </w:p>
    <w:p>
      <w:pPr>
        <w:spacing w:after="0" w:line="15"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through 11 of the cover page for each Reporting Person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40"/>
          </w:cols>
          <w:pgMar w:left="360" w:top="112" w:right="39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653"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CRCM INSTITUTIONAL MASTER FUND (BVI),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Chun R. Ding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CRCM INSTITUTIONAL MASTER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(BVI), LTD.</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CRCM LP</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Chun R. Ding</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CRCM LP</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CRCM LLC</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Chun R. Ding</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CRCM LLC</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Ding Chun R</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Chun R. Ding</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DING CHUN R</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355" w:right="399" w:bottom="6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1"/>
      <w:numFmt w:val="lowerLetter"/>
      <w:start w:val="1"/>
    </w:lvl>
    <w:lvl w:ilvl="1">
      <w:lvlJc w:val="left"/>
      <w:lvlText w:val="(%2)"/>
      <w:numFmt w:val="lowerRoman"/>
      <w:start w:val="1"/>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2026-05-13T16:19:13Z</dcterms:created>
  <dcterms:modified xsi:type="dcterms:W3CDTF">2026-05-13T16:19:13Z</dcterms:modified>
</cp:coreProperties>
</file>