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6318d6k.htm"/>
      <w:bookmarkStart w:id="1" w:name="ksd7631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001-39316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BURNING ROCK BIOTECH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(Registrant’s Name)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No.5 Xingdao Ring Road North, International Bio Island </w:t>
      </w:r>
    </w:p>
    <w:p>
      <w:pPr>
        <w:pStyle w:val="TextBody"/>
        <w:bidi w:val="0"/>
        <w:spacing w:before="0" w:after="0"/>
        <w:jc w:val="center"/>
        <w:rPr>
          <w:rFonts w:ascii="Times New Roman" w:hAnsi="Times New Roman"/>
          <w:b/>
          <w:sz w:val="20"/>
        </w:rPr>
      </w:pPr>
      <w:r>
        <w:rPr>
          <w:rFonts w:ascii="Times New Roman" w:hAnsi="Times New Roman"/>
          <w:b/>
          <w:sz w:val="20"/>
        </w:rPr>
        <w:t xml:space="preserve">Guangzhou, Guangdong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Exhibit 99.1 (excluding the paragraphs under the heading “Non-GAAP Measures,” the table under the heading “Burning Rock Biotech Limited Reconciliations of GAAP and Non-GAAP Results,” and other discussions on non-GAAP measures therein) of this current report on Form 6-K (the “Report”) shall be incorporated by reference into the Company’s registration statements on Form F-3, which became effective on September 30, 2022 (File no. 333-264577).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4"/>
        <w:gridCol w:w="322"/>
        <w:gridCol w:w="8679"/>
      </w:tblGrid>
      <w:tr>
        <w:trPr/>
        <w:tc>
          <w:tcPr>
            <w:tcW w:w="1204"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8679" w:type="dxa"/>
            <w:tcBorders/>
            <w:vAlign w:val="center"/>
          </w:tcPr>
          <w:p>
            <w:pPr>
              <w:pStyle w:val="TableContents"/>
              <w:bidi w:val="0"/>
              <w:spacing w:before="0" w:after="283"/>
              <w:jc w:val="left"/>
              <w:rPr>
                <w:sz w:val="4"/>
                <w:szCs w:val="4"/>
              </w:rPr>
            </w:pPr>
            <w:r>
              <w:rPr>
                <w:sz w:val="4"/>
                <w:szCs w:val="4"/>
              </w:rPr>
            </w:r>
          </w:p>
        </w:tc>
      </w:tr>
      <w:tr>
        <w:trPr/>
        <w:tc>
          <w:tcPr>
            <w:tcW w:w="1204" w:type="dxa"/>
            <w:tcBorders>
              <w:bottom w:val="single" w:sz="8" w:space="0" w:color="000000"/>
            </w:tcBorders>
            <w:tcMar>
              <w:bottom w:w="28" w:type="dxa"/>
            </w:tcMar>
            <w:vAlign w:val="bottom"/>
          </w:tcPr>
          <w:p>
            <w:pPr>
              <w:pStyle w:val="TableContents"/>
              <w:bidi w:val="0"/>
              <w:spacing w:before="0" w:after="283"/>
              <w:jc w:val="left"/>
              <w:rPr>
                <w:b/>
              </w:rPr>
            </w:pPr>
            <w:r>
              <w:rPr>
                <w:b/>
              </w:rPr>
              <w:t>Number</w:t>
            </w:r>
          </w:p>
        </w:tc>
        <w:tc>
          <w:tcPr>
            <w:tcW w:w="322" w:type="dxa"/>
            <w:tcBorders/>
            <w:vAlign w:val="bottom"/>
          </w:tcPr>
          <w:p>
            <w:pPr>
              <w:pStyle w:val="TableContents"/>
              <w:bidi w:val="0"/>
              <w:spacing w:before="0" w:after="283"/>
              <w:jc w:val="left"/>
              <w:rPr/>
            </w:pPr>
            <w:r>
              <w:rPr/>
              <w:t>  </w:t>
            </w:r>
          </w:p>
        </w:tc>
        <w:tc>
          <w:tcPr>
            <w:tcW w:w="86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Document</w:t>
            </w:r>
          </w:p>
        </w:tc>
      </w:tr>
      <w:tr>
        <w:trPr>
          <w:trHeight w:val="120" w:hRule="atLeast"/>
        </w:trPr>
        <w:tc>
          <w:tcPr>
            <w:tcW w:w="1204" w:type="dxa"/>
            <w:tcBorders/>
            <w:vAlign w:val="center"/>
          </w:tcPr>
          <w:p>
            <w:pPr>
              <w:pStyle w:val="TableContents"/>
              <w:bidi w:val="0"/>
              <w:spacing w:before="0" w:after="283"/>
              <w:jc w:val="left"/>
              <w:rPr>
                <w:sz w:val="4"/>
                <w:szCs w:val="4"/>
              </w:rPr>
            </w:pPr>
            <w:r>
              <w:rPr>
                <w:sz w:val="4"/>
                <w:szCs w:val="4"/>
              </w:rPr>
            </w:r>
          </w:p>
        </w:tc>
        <w:tc>
          <w:tcPr>
            <w:tcW w:w="9001" w:type="dxa"/>
            <w:gridSpan w:val="2"/>
            <w:tcBorders/>
            <w:vAlign w:val="center"/>
          </w:tcPr>
          <w:p>
            <w:pPr>
              <w:pStyle w:val="TableContents"/>
              <w:bidi w:val="0"/>
              <w:spacing w:before="0" w:after="283"/>
              <w:jc w:val="left"/>
              <w:rPr>
                <w:sz w:val="4"/>
                <w:szCs w:val="4"/>
              </w:rPr>
            </w:pPr>
            <w:r>
              <w:rPr>
                <w:sz w:val="4"/>
                <w:szCs w:val="4"/>
              </w:rPr>
            </w:r>
          </w:p>
        </w:tc>
      </w:tr>
      <w:tr>
        <w:trPr/>
        <w:tc>
          <w:tcPr>
            <w:tcW w:w="1204" w:type="dxa"/>
            <w:tcBorders/>
          </w:tcPr>
          <w:p>
            <w:pPr>
              <w:pStyle w:val="TableContents"/>
              <w:bidi w:val="0"/>
              <w:spacing w:before="0" w:after="283"/>
              <w:jc w:val="left"/>
              <w:rPr/>
            </w:pPr>
            <w:r>
              <w:rPr/>
              <w:t>Exhibit 99.1</w:t>
            </w:r>
          </w:p>
        </w:tc>
        <w:tc>
          <w:tcPr>
            <w:tcW w:w="322" w:type="dxa"/>
            <w:tcBorders/>
            <w:vAlign w:val="bottom"/>
          </w:tcPr>
          <w:p>
            <w:pPr>
              <w:pStyle w:val="TableContents"/>
              <w:bidi w:val="0"/>
              <w:spacing w:before="0" w:after="283"/>
              <w:jc w:val="left"/>
              <w:rPr/>
            </w:pPr>
            <w:r>
              <w:rPr/>
              <w:t>  </w:t>
            </w:r>
          </w:p>
        </w:tc>
        <w:tc>
          <w:tcPr>
            <w:tcW w:w="8679" w:type="dxa"/>
            <w:tcBorders/>
          </w:tcPr>
          <w:p>
            <w:pPr>
              <w:pStyle w:val="TableContents"/>
              <w:bidi w:val="0"/>
              <w:spacing w:before="0" w:after="283"/>
              <w:jc w:val="left"/>
              <w:rPr/>
            </w:pPr>
            <w:hyperlink w:anchor="d76318dex991.htm">
              <w:r>
                <w:rPr>
                  <w:rStyle w:val="InternetLink"/>
                </w:rPr>
                <w:t xml:space="preserve">Press release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94"/>
        <w:gridCol w:w="102"/>
        <w:gridCol w:w="510"/>
        <w:gridCol w:w="102"/>
        <w:gridCol w:w="4797"/>
      </w:tblGrid>
      <w:tr>
        <w:trPr/>
        <w:tc>
          <w:tcPr>
            <w:tcW w:w="469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69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409"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Burning Rock Biotech Limited</w:t>
            </w:r>
          </w:p>
        </w:tc>
      </w:tr>
      <w:tr>
        <w:trPr>
          <w:trHeight w:val="240" w:hRule="atLeast"/>
        </w:trPr>
        <w:tc>
          <w:tcPr>
            <w:tcW w:w="4694" w:type="dxa"/>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797" w:type="dxa"/>
            <w:tcBorders>
              <w:bottom w:val="single" w:sz="2" w:space="0" w:color="000000"/>
            </w:tcBorders>
            <w:tcMar>
              <w:bottom w:w="28" w:type="dxa"/>
            </w:tcMar>
          </w:tcPr>
          <w:p>
            <w:pPr>
              <w:pStyle w:val="TableContents"/>
              <w:bidi w:val="0"/>
              <w:spacing w:before="0" w:after="283"/>
              <w:jc w:val="left"/>
              <w:rPr/>
            </w:pPr>
            <w:r>
              <w:rPr/>
              <w:t>/s/ Yusheng Han</w:t>
            </w:r>
          </w:p>
        </w:tc>
      </w:tr>
      <w:tr>
        <w:trPr/>
        <w:tc>
          <w:tcPr>
            <w:tcW w:w="469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Yusheng Han</w:t>
            </w:r>
          </w:p>
        </w:tc>
      </w:tr>
      <w:tr>
        <w:trPr/>
        <w:tc>
          <w:tcPr>
            <w:tcW w:w="469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4694"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Date: September 10, 2026</w:t>
            </w:r>
          </w:p>
        </w:tc>
        <w:tc>
          <w:tcPr>
            <w:tcW w:w="102"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76318dex991.htm"/>
      <w:bookmarkStart w:id="3" w:name="ksd76318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Burning Rock Reports Second Quarter 2026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GUANGZHOU, China, September 10, 2026—Burning Rock Biotech Limited (NASDAQ: BNR, the “Company” or “Burning Rock”), a company focused on the application of next-generation sequencing (NGS) technology in the field of precision oncology, today reported financial results for the three months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Recent Business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Therapy Selection &amp; MRD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OncoScreen® BCMatch Tissue Kit has officially entered the Priority Review Channel of the Center for Medical Device Evaluation (CMDE) under the NMPA.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CanCatch Custom Kit and CanCatch Custom Kit (cPAS) have officially entered the Special Review Procedure for Innovative Medical Devices of CMDE under the NMPA.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August 2026, the Priority Review Channel application for OncoCompass Target Cancer Mutation Profiling Liquid Kit was resubmitted and subsequently accepted for review. </w:t>
            </w:r>
          </w:p>
        </w:tc>
      </w:tr>
    </w:tbl>
    <w:p>
      <w:pPr>
        <w:pStyle w:val="TextBody"/>
        <w:bidi w:val="0"/>
        <w:spacing w:before="120" w:after="0"/>
        <w:jc w:val="left"/>
        <w:rPr/>
      </w:pPr>
      <w:r>
        <w:rPr/>
        <w:t>“</w:t>
      </w:r>
      <w:r>
        <w:rPr>
          <w:rFonts w:ascii="Times New Roman" w:hAnsi="Times New Roman"/>
          <w:sz w:val="20"/>
        </w:rPr>
        <w:t xml:space="preserve">After navigating a challenging first quarter, we delivered the anticipated sequential recovery in the second quarter, offsetting the order volatility in the first quarter” said Mr. Yusheng Han, Chairman and Chief Executive Officer of Burning Rock. “With several products having entered the Priority Review Channel and Special Review Procedure for Innovative Medical Devices of CMDE and new registration certificates expected in the coming quarters, we are confident that we will achieve sustainable and meaningful top-line growth over the long term.”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Revenues were RMB134.7 million (US$19.9 million) for the three months ended June 30, 2026, representing a 9.3% decrease from RMB148.5 million for the same period in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generated from central laboratory business was RMB36.8 million (US$5.4million) for the three months ended June 30, 2026, representing a 10.0% decrease from RMB40.9 million for the same period in 2025, primarily attributable to a decrease in the number of tests, as we continued our transition towards in-hospital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generated from in-hospital business was RMB67.1 million (US$9.9 million) for the three months ended June 30, 2026, representing a 7.4% increase from RMB62.5 million for the same period in 2025, driven by an increase in sales volume.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generated from pharma research and development services was RMB30.8 million (US$4.6 million) for the three months ended June 30, 2026, representing a 31.8% decrease from RMB45.1 million for the same period in 2025, primarily attributable to decreased testing services performed for our pharma customers.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Cost of revenues was RMB36.9 million (US$5.5 million) for the three months ended June 30, 2026, representing an 8.6% decrease from RMB40.4 million for the same period in 2025. </w:t>
      </w:r>
    </w:p>
    <w:p>
      <w:pPr>
        <w:pStyle w:val="TextBody"/>
        <w:bidi w:val="0"/>
        <w:spacing w:before="120" w:after="0"/>
        <w:jc w:val="left"/>
        <w:rPr>
          <w:rFonts w:ascii="Times New Roman" w:hAnsi="Times New Roman"/>
          <w:sz w:val="20"/>
        </w:rPr>
      </w:pPr>
      <w:r>
        <w:rPr>
          <w:rFonts w:ascii="Times New Roman" w:hAnsi="Times New Roman"/>
          <w:sz w:val="20"/>
        </w:rPr>
        <w:t xml:space="preserve">Gross profit was RMB97.8 million (US$14.4 million) for the three months ended June 30, 2026, representing a 9.5% decrease from RMB108.1 million for the same period in 2025. Gross margin was 72.6% for the three months ended June 30, 2026, compared to 72.8% for the same period in 2025. By channel, gross margin of central laboratory business was 85.7% for the three months ended June 30, 2026, compared to 87.9% during the same period in 2025, primarily driven by an increased depreciation; gross margin of in-hospital business was 77.1% for the three months ended June 30, 2026, compared to 74.4% during the same period in 2025, primarily attributable to an increase in sales volume to high margin products; gross margin of pharma research and development services was 47.2% for the three months ended June 30, 2026, compared to 56.8% during the same period of 2025, primarily due to a decrease in test volume of higher-margin projects. </w:t>
      </w:r>
    </w:p>
    <w:p>
      <w:pPr>
        <w:pStyle w:val="TextBody"/>
        <w:bidi w:val="0"/>
        <w:spacing w:before="120" w:after="0"/>
        <w:jc w:val="left"/>
        <w:rPr>
          <w:rFonts w:ascii="Times New Roman" w:hAnsi="Times New Roman"/>
          <w:sz w:val="20"/>
        </w:rPr>
      </w:pPr>
      <w:r>
        <w:rPr>
          <w:rFonts w:ascii="Times New Roman" w:hAnsi="Times New Roman"/>
          <w:sz w:val="20"/>
        </w:rPr>
        <w:t xml:space="preserve">Non-GAAP gross profit, which excludes depreciation and amortization expenses, was RMB100.1 million (US$14.8 million) for the three months ended June 30, 2026, representing a 9.4% decrease from RMB110.5 million for the same period in 2025. Non-GAAP gross margin was 74.3% for the three months ended June 30, 2026, compared to 74.4% for the same period in 2025. For more details on these non-GAAP financial measures, please see the table captioned “Reconciliations of GAAP and Non-GAAP Results” set forth at the end of this press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Operating expenses were RMB115.8 million (US$17.1 million) for the three months ended June 30, 2026, representing a 3.2% decrease from RMB119.6 million for the same period in 2025. The decrease was primarily driven by business cost control to improve operating efficiency.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expenses were RMB31.2 million (US$4.6 million) for the three months ended June 30, 2026, representing a 37.3% decrease from RMB49.8 million for the same period in 2025, primarily due to a temporary decrease across different research phases.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and marketing expenses were RMB47.1 million (US$6.9 million) for the three months ended June 30, 2026, representing a 22.7% increase from RMB38.4 million for the same period in 2025, primarily due to an increase in staff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and administrative expenses were RMB37.5 million (US$5.6 million) for the three months ended June 30, 2026, representing a 19.2% increase from RMB31.4 million for the same period in 2025, primarily due to an increase in allowance for credit loss in relation to accounts receivables, partially offset by a decrease in share-based compensation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loss was RMB18.4 million (US$2.7 million) for the three months ended June 30, 2026, compared to RMB9.7 million for the same period in 2025. </w:t>
      </w:r>
    </w:p>
    <w:p>
      <w:pPr>
        <w:pStyle w:val="TextBody"/>
        <w:bidi w:val="0"/>
        <w:spacing w:before="240" w:after="0"/>
        <w:jc w:val="left"/>
        <w:rPr>
          <w:rFonts w:ascii="Times New Roman" w:hAnsi="Times New Roman"/>
          <w:sz w:val="20"/>
        </w:rPr>
      </w:pPr>
      <w:r>
        <w:rPr>
          <w:rFonts w:ascii="Times New Roman" w:hAnsi="Times New Roman"/>
          <w:sz w:val="20"/>
        </w:rPr>
        <w:t xml:space="preserve">Cash, cash equivalents and restricted cash were RMB419.1 million (US$61.8 million) as of June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Exchange 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translations of certain Renminbi amounts into U.S. dollars at a specified rate solely for the convenience of the reader. Unless otherwise noted, all translations from Renminbi to U.S. dollars and from U.S. dollars to Renminbi are made at a rate of RMB6.7851 to US$1.00, the exchange rate on June 30 2026, set forth in the H.10 statistical release of the Federal Reserve Board. The Company makes no representation that the Renminbi or U.S. dollars amounts referred could be converted into U.S. dollars or Renminbi, as the case may be, at any particular rate or at all. </w:t>
      </w:r>
    </w:p>
    <w:p>
      <w:pPr>
        <w:pStyle w:val="TextBody"/>
        <w:bidi w:val="0"/>
        <w:spacing w:before="360" w:after="0"/>
        <w:jc w:val="left"/>
        <w:rPr>
          <w:rFonts w:ascii="Times New Roman" w:hAnsi="Times New Roman"/>
          <w:b/>
          <w:sz w:val="20"/>
        </w:rPr>
      </w:pPr>
      <w:r>
        <w:rPr>
          <w:rFonts w:ascii="Times New Roman" w:hAnsi="Times New Roman"/>
          <w:b/>
          <w:sz w:val="20"/>
        </w:rPr>
        <w:t xml:space="preserve">About Burning Rock </w:t>
      </w:r>
    </w:p>
    <w:p>
      <w:pPr>
        <w:pStyle w:val="TextBody"/>
        <w:bidi w:val="0"/>
        <w:spacing w:before="120" w:after="0"/>
        <w:jc w:val="left"/>
        <w:rPr>
          <w:rFonts w:ascii="Times New Roman" w:hAnsi="Times New Roman"/>
          <w:sz w:val="20"/>
        </w:rPr>
      </w:pPr>
      <w:r>
        <w:rPr>
          <w:rFonts w:ascii="Times New Roman" w:hAnsi="Times New Roman"/>
          <w:sz w:val="20"/>
        </w:rPr>
        <w:t xml:space="preserve">Burning Rock Biotech Limited (NASDAQ: BNR), whose mission is to guard life via science, focuses on the application of next generation sequencing (NGS) technology in the field of precision oncology. Its business consists of i) NGS-based therapy selection testing for late-stage cancer patients, and ii) cancer early detection, which has moved beyond proof-of-concept R&amp;D into the clinical validation stage.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Burning Rock, please visit: ir.brbiotech.com.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“target,” “confident” and similar statements. Burning Rock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Burning Rock’s beliefs and expectations,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Such statements are based upon management’s current expectations and current market and operating conditions, and relate to events that involve known or unknown risks, uncertainties and other factors, all of which are difficult to predict and many of which are beyond Burning Rock’s control. Forward-looking statements involve risks, uncertainties and other factors that could cause actual results to differ materially from those contained in any such statements. All information provided in this press release is as of the date of this press release, and Burning Rock does not undertake any obligation to update any forward-looking statement as a result of new information, future events or otherwise,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Measures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business, the Company considers and uses non-GAAP measures, such as non-GAAP gross profit and non-GAAP gross margin, as supplemental measures to review and assess operating performance and formulate business plans. However, the presentation of these non-GAAP financial measures is not intended to be considered in isolation or as a substitute for the financial information prepared and presented in accordance with accounting principles generally accepted in the United States of America (“U.S. GAAP”). These non-GAAP financial measures may be different from non-GAAP methods of accounting and reporting used by other companies, including peer companies, and therefore their comparability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defines non-GAAP gross profit as gross profit excluding depreciation and amortization. The Company defines non-GAAP gross margin as non-GAAP gross profit divided by its 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presenting non-GAAP gross profit and non-GAAP gross margin excluding non-cash impact of depreciation and amortization, in addition to the Company’s GAAP gross profit and gross margin, provides a better understanding of the underlying trends in the Company’s operating business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Reconciliation of these non-GAAP financial measures to the most directly comparable U.S. GAAP measures are set forth at the end of this press release, all of which should be considered when evaluating the Company’s performance. </w:t>
      </w:r>
    </w:p>
    <w:p>
      <w:pPr>
        <w:pStyle w:val="TextBody"/>
        <w:bidi w:val="0"/>
        <w:spacing w:before="240" w:after="0"/>
        <w:jc w:val="center"/>
        <w:rPr>
          <w:rFonts w:ascii="Times New Roman" w:hAnsi="Times New Roman"/>
          <w:sz w:val="20"/>
        </w:rPr>
      </w:pPr>
      <w:r>
        <w:rPr>
          <w:rFonts w:ascii="Times New Roman" w:hAnsi="Times New Roman"/>
          <w:sz w:val="20"/>
        </w:rPr>
        <w:t xml:space="preserve">Contact: IR@brbiotech.com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Selected Operating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1"/>
        <w:gridCol w:w="264"/>
        <w:gridCol w:w="164"/>
        <w:gridCol w:w="723"/>
        <w:gridCol w:w="60"/>
        <w:gridCol w:w="264"/>
        <w:gridCol w:w="276"/>
        <w:gridCol w:w="1200"/>
        <w:gridCol w:w="60"/>
        <w:gridCol w:w="264"/>
        <w:gridCol w:w="265"/>
        <w:gridCol w:w="1152"/>
        <w:gridCol w:w="60"/>
        <w:gridCol w:w="263"/>
        <w:gridCol w:w="200"/>
        <w:gridCol w:w="879"/>
        <w:gridCol w:w="60"/>
        <w:gridCol w:w="264"/>
        <w:gridCol w:w="164"/>
        <w:gridCol w:w="723"/>
        <w:gridCol w:w="69"/>
      </w:tblGrid>
      <w:tr>
        <w:trPr/>
        <w:tc>
          <w:tcPr>
            <w:tcW w:w="2831"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831"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04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9"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9"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In-hospital channel:</w:t>
            </w:r>
          </w:p>
        </w:tc>
        <w:tc>
          <w:tcPr>
            <w:tcW w:w="26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11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Pipeline partner hospitals(1)</w:t>
            </w:r>
          </w:p>
        </w:tc>
        <w:tc>
          <w:tcPr>
            <w:tcW w:w="26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30</w:t>
            </w:r>
          </w:p>
        </w:tc>
        <w:tc>
          <w:tcPr>
            <w:tcW w:w="69"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Contracted partner hospitals(2)</w:t>
            </w:r>
          </w:p>
        </w:tc>
        <w:tc>
          <w:tcPr>
            <w:tcW w:w="26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200"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64</w:t>
            </w:r>
          </w:p>
        </w:tc>
        <w:tc>
          <w:tcPr>
            <w:tcW w:w="69"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number of partner hospitals</w:t>
            </w:r>
          </w:p>
        </w:tc>
        <w:tc>
          <w:tcPr>
            <w:tcW w:w="26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b/>
              </w:rPr>
            </w:pPr>
            <w:r>
              <w:rPr>
                <w:b/>
              </w:rPr>
              <w:t>93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200" w:type="dxa"/>
            <w:tcBorders/>
            <w:vAlign w:val="bottom"/>
          </w:tcPr>
          <w:p>
            <w:pPr>
              <w:pStyle w:val="TableContents"/>
              <w:bidi w:val="0"/>
              <w:spacing w:before="0" w:after="283"/>
              <w:jc w:val="right"/>
              <w:rPr>
                <w:b/>
              </w:rPr>
            </w:pPr>
            <w:r>
              <w:rPr>
                <w:b/>
              </w:rPr>
              <w:t>94</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b/>
              </w:rPr>
            </w:pPr>
            <w:r>
              <w:rPr>
                <w:b/>
              </w:rPr>
              <w:t>94</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94</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b/>
              </w:rPr>
            </w:pPr>
            <w:r>
              <w:rPr>
                <w:b/>
              </w:rPr>
              <w:t>94</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Refers to hospitals that are in the process of establishing in-hospital laboratories, laboratory equipment procurement or installation, staff training or pilot testing using the Company’s products.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Refers to hospitals that have entered into contracts to purchase the Company’s products for use on a recurring basis in their respective in-hospital laboratories the Company helped them establish. Kit revenue is generated from contracted hospitals.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Selected Financial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06"/>
        <w:gridCol w:w="178"/>
        <w:gridCol w:w="60"/>
        <w:gridCol w:w="833"/>
        <w:gridCol w:w="60"/>
        <w:gridCol w:w="178"/>
        <w:gridCol w:w="102"/>
        <w:gridCol w:w="1396"/>
        <w:gridCol w:w="60"/>
        <w:gridCol w:w="178"/>
        <w:gridCol w:w="98"/>
        <w:gridCol w:w="1349"/>
        <w:gridCol w:w="60"/>
        <w:gridCol w:w="178"/>
        <w:gridCol w:w="74"/>
        <w:gridCol w:w="999"/>
        <w:gridCol w:w="60"/>
        <w:gridCol w:w="178"/>
        <w:gridCol w:w="60"/>
        <w:gridCol w:w="833"/>
        <w:gridCol w:w="65"/>
      </w:tblGrid>
      <w:tr>
        <w:trPr/>
        <w:tc>
          <w:tcPr>
            <w:tcW w:w="320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0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75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5" w:type="dxa"/>
            <w:tcBorders/>
            <w:vAlign w:val="bottom"/>
          </w:tcPr>
          <w:p>
            <w:pPr>
              <w:pStyle w:val="TableContents"/>
              <w:bidi w:val="0"/>
              <w:spacing w:before="0" w:after="283"/>
              <w:jc w:val="left"/>
              <w:rPr/>
            </w:pPr>
            <w:r>
              <w:rPr/>
              <w:t> </w:t>
            </w:r>
          </w:p>
        </w:tc>
      </w:tr>
      <w:tr>
        <w:trPr/>
        <w:tc>
          <w:tcPr>
            <w:tcW w:w="3206" w:type="dxa"/>
            <w:tcBorders/>
            <w:vAlign w:val="bottom"/>
          </w:tcPr>
          <w:p>
            <w:pPr>
              <w:pStyle w:val="TableContents"/>
              <w:bidi w:val="0"/>
              <w:spacing w:before="0" w:after="283"/>
              <w:jc w:val="left"/>
              <w:rPr>
                <w:b/>
              </w:rPr>
            </w:pPr>
            <w:r>
              <w:rPr>
                <w:b/>
              </w:rPr>
              <w:t>Revenues</w:t>
            </w:r>
          </w:p>
        </w:tc>
        <w:tc>
          <w:tcPr>
            <w:tcW w:w="178"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5" w:type="dxa"/>
            <w:tcBorders/>
            <w:vAlign w:val="bottom"/>
          </w:tcPr>
          <w:p>
            <w:pPr>
              <w:pStyle w:val="TableContents"/>
              <w:bidi w:val="0"/>
              <w:spacing w:before="0" w:after="283"/>
              <w:jc w:val="left"/>
              <w:rPr/>
            </w:pPr>
            <w:r>
              <w:rPr/>
              <w:t> </w:t>
            </w:r>
          </w:p>
        </w:tc>
      </w:tr>
      <w:tr>
        <w:trPr/>
        <w:tc>
          <w:tcPr>
            <w:tcW w:w="320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4494" w:type="dxa"/>
            <w:gridSpan w:val="10"/>
            <w:tcBorders/>
            <w:vAlign w:val="bottom"/>
          </w:tcPr>
          <w:p>
            <w:pPr>
              <w:pStyle w:val="TableContents"/>
              <w:bidi w:val="0"/>
              <w:spacing w:before="0" w:after="283"/>
              <w:jc w:val="center"/>
              <w:rPr>
                <w:b/>
              </w:rPr>
            </w:pPr>
            <w:r>
              <w:rPr>
                <w:b/>
              </w:rPr>
              <w:t>(RMB in thousands)</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93"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32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Central laboratory channel</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40,861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36,811</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44,025</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32,420</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36,782</w:t>
            </w:r>
          </w:p>
        </w:tc>
        <w:tc>
          <w:tcPr>
            <w:tcW w:w="65" w:type="dxa"/>
            <w:tcBorders/>
            <w:shd w:fill="CCEEFF" w:val="clear"/>
            <w:vAlign w:val="bottom"/>
          </w:tcPr>
          <w:p>
            <w:pPr>
              <w:pStyle w:val="TableContents"/>
              <w:bidi w:val="0"/>
              <w:spacing w:before="0" w:after="283"/>
              <w:jc w:val="left"/>
              <w:rPr/>
            </w:pPr>
            <w:r>
              <w:rPr/>
              <w:t> </w:t>
            </w:r>
          </w:p>
        </w:tc>
      </w:tr>
      <w:tr>
        <w:trPr/>
        <w:tc>
          <w:tcPr>
            <w:tcW w:w="3206" w:type="dxa"/>
            <w:tcBorders/>
          </w:tcPr>
          <w:p>
            <w:pPr>
              <w:pStyle w:val="TableContents"/>
              <w:bidi w:val="0"/>
              <w:spacing w:before="0" w:after="0"/>
              <w:jc w:val="left"/>
              <w:rPr>
                <w:rFonts w:ascii="Times New Roman" w:hAnsi="Times New Roman"/>
                <w:sz w:val="20"/>
              </w:rPr>
            </w:pPr>
            <w:r>
              <w:rPr>
                <w:rFonts w:ascii="Times New Roman" w:hAnsi="Times New Roman"/>
                <w:sz w:val="20"/>
              </w:rPr>
              <w:t>In-hospital channel</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62,496</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pPr>
            <w:r>
              <w:rPr/>
              <w:t>52,847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51,005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52,761</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67,145</w:t>
            </w:r>
          </w:p>
        </w:tc>
        <w:tc>
          <w:tcPr>
            <w:tcW w:w="65" w:type="dxa"/>
            <w:tcBorders/>
            <w:vAlign w:val="bottom"/>
          </w:tcPr>
          <w:p>
            <w:pPr>
              <w:pStyle w:val="TableContents"/>
              <w:bidi w:val="0"/>
              <w:spacing w:before="0" w:after="283"/>
              <w:jc w:val="left"/>
              <w:rPr/>
            </w:pPr>
            <w:r>
              <w:rPr/>
              <w:t> </w:t>
            </w:r>
          </w:p>
        </w:tc>
      </w:tr>
      <w:tr>
        <w:trPr/>
        <w:tc>
          <w:tcPr>
            <w:tcW w:w="32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Pharma research and development channel</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45,197</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right"/>
              <w:rPr/>
            </w:pPr>
            <w:r>
              <w:rPr/>
              <w:t>41,959</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31,285</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22,762</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30,838</w:t>
            </w:r>
          </w:p>
        </w:tc>
        <w:tc>
          <w:tcPr>
            <w:tcW w:w="65" w:type="dxa"/>
            <w:tcBorders/>
            <w:shd w:fill="CCEEFF" w:val="clear"/>
            <w:vAlign w:val="bottom"/>
          </w:tcPr>
          <w:p>
            <w:pPr>
              <w:pStyle w:val="TableContents"/>
              <w:bidi w:val="0"/>
              <w:spacing w:before="0" w:after="283"/>
              <w:jc w:val="left"/>
              <w:rPr/>
            </w:pPr>
            <w:r>
              <w:rPr/>
              <w:t> </w:t>
            </w:r>
          </w:p>
        </w:tc>
      </w:tr>
      <w:tr>
        <w:trPr/>
        <w:tc>
          <w:tcPr>
            <w:tcW w:w="320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148,554</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right"/>
              <w:rPr>
                <w:b/>
              </w:rPr>
            </w:pPr>
            <w:r>
              <w:rPr>
                <w:b/>
              </w:rPr>
              <w:t>131,617</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b/>
              </w:rPr>
            </w:pPr>
            <w:r>
              <w:rPr>
                <w:b/>
              </w:rPr>
              <w:t>126,315</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107,943</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b/>
              </w:rPr>
            </w:pPr>
            <w:r>
              <w:rPr>
                <w:b/>
              </w:rPr>
              <w:t>134,765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1205" w:type="dxa"/>
        <w:jc w:val="center"/>
        <w:tblInd w:w="0" w:type="dxa"/>
        <w:tblLayout w:type="fixed"/>
        <w:tblCellMar>
          <w:top w:w="0" w:type="dxa"/>
          <w:left w:w="0" w:type="dxa"/>
          <w:bottom w:w="0" w:type="dxa"/>
          <w:right w:w="0" w:type="dxa"/>
        </w:tblCellMar>
      </w:tblPr>
      <w:tblGrid>
        <w:gridCol w:w="4625"/>
        <w:gridCol w:w="120"/>
        <w:gridCol w:w="60"/>
        <w:gridCol w:w="800"/>
        <w:gridCol w:w="60"/>
        <w:gridCol w:w="120"/>
        <w:gridCol w:w="102"/>
        <w:gridCol w:w="1373"/>
        <w:gridCol w:w="60"/>
        <w:gridCol w:w="120"/>
        <w:gridCol w:w="98"/>
        <w:gridCol w:w="1317"/>
        <w:gridCol w:w="60"/>
        <w:gridCol w:w="120"/>
        <w:gridCol w:w="74"/>
        <w:gridCol w:w="996"/>
        <w:gridCol w:w="60"/>
        <w:gridCol w:w="120"/>
        <w:gridCol w:w="60"/>
        <w:gridCol w:w="800"/>
        <w:gridCol w:w="60"/>
      </w:tblGrid>
      <w:tr>
        <w:trPr/>
        <w:tc>
          <w:tcPr>
            <w:tcW w:w="46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6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0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0"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b/>
              </w:rPr>
            </w:pPr>
            <w:r>
              <w:rPr>
                <w:b/>
              </w:rPr>
              <w:t>Revenues by location of contracting customer</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320" w:type="dxa"/>
            <w:gridSpan w:val="10"/>
            <w:tcBorders/>
            <w:vAlign w:val="bottom"/>
          </w:tcPr>
          <w:p>
            <w:pPr>
              <w:pStyle w:val="TableContents"/>
              <w:bidi w:val="0"/>
              <w:spacing w:before="0" w:after="283"/>
              <w:jc w:val="center"/>
              <w:rPr>
                <w:b/>
              </w:rPr>
            </w:pPr>
            <w:r>
              <w:rPr>
                <w:b/>
              </w:rPr>
              <w:t>(RMB in thousands)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6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Overseas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37,458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17,214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21,849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8,544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17,878</w:t>
            </w:r>
          </w:p>
        </w:tc>
        <w:tc>
          <w:tcPr>
            <w:tcW w:w="60" w:type="dxa"/>
            <w:tcBorders/>
            <w:shd w:fill="CCEEFF" w:val="clear"/>
            <w:vAlign w:val="bottom"/>
          </w:tcPr>
          <w:p>
            <w:pPr>
              <w:pStyle w:val="TableContents"/>
              <w:bidi w:val="0"/>
              <w:spacing w:before="0" w:after="283"/>
              <w:jc w:val="left"/>
              <w:rPr/>
            </w:pPr>
            <w:r>
              <w:rPr/>
              <w:t> </w:t>
            </w:r>
          </w:p>
        </w:tc>
      </w:tr>
      <w:tr>
        <w:trPr/>
        <w:tc>
          <w:tcPr>
            <w:tcW w:w="4625" w:type="dxa"/>
            <w:tcBorders/>
          </w:tcPr>
          <w:p>
            <w:pPr>
              <w:pStyle w:val="TableContents"/>
              <w:bidi w:val="0"/>
              <w:spacing w:before="0" w:after="0"/>
              <w:jc w:val="left"/>
              <w:rPr>
                <w:rFonts w:ascii="Times New Roman" w:hAnsi="Times New Roman"/>
                <w:sz w:val="20"/>
              </w:rPr>
            </w:pPr>
            <w:r>
              <w:rPr>
                <w:rFonts w:ascii="Times New Roman" w:hAnsi="Times New Roman"/>
                <w:sz w:val="20"/>
              </w:rPr>
              <w:t>Chinese mainland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111,096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114,403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104,466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99,399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116,887</w:t>
            </w:r>
          </w:p>
        </w:tc>
        <w:tc>
          <w:tcPr>
            <w:tcW w:w="6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148,554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b/>
              </w:rPr>
            </w:pPr>
            <w:r>
              <w:rPr>
                <w:b/>
              </w:rPr>
              <w:t>131,617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b/>
              </w:rPr>
            </w:pPr>
            <w:r>
              <w:rPr>
                <w:b/>
              </w:rPr>
              <w:t>126,315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107,943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134,765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4"/>
        <w:gridCol w:w="174"/>
        <w:gridCol w:w="60"/>
        <w:gridCol w:w="804"/>
        <w:gridCol w:w="60"/>
        <w:gridCol w:w="174"/>
        <w:gridCol w:w="119"/>
        <w:gridCol w:w="1361"/>
        <w:gridCol w:w="60"/>
        <w:gridCol w:w="174"/>
        <w:gridCol w:w="114"/>
        <w:gridCol w:w="1312"/>
        <w:gridCol w:w="60"/>
        <w:gridCol w:w="174"/>
        <w:gridCol w:w="86"/>
        <w:gridCol w:w="1000"/>
        <w:gridCol w:w="60"/>
        <w:gridCol w:w="174"/>
        <w:gridCol w:w="70"/>
        <w:gridCol w:w="808"/>
        <w:gridCol w:w="67"/>
      </w:tblGrid>
      <w:tr>
        <w:trPr/>
        <w:tc>
          <w:tcPr>
            <w:tcW w:w="329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2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67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7" w:type="dxa"/>
            <w:tcBorders/>
            <w:vAlign w:val="bottom"/>
          </w:tcPr>
          <w:p>
            <w:pPr>
              <w:pStyle w:val="TableContents"/>
              <w:bidi w:val="0"/>
              <w:spacing w:before="0" w:after="283"/>
              <w:jc w:val="left"/>
              <w:rPr/>
            </w:pPr>
            <w:r>
              <w:rPr/>
              <w:t> </w:t>
            </w:r>
          </w:p>
        </w:tc>
      </w:tr>
      <w:tr>
        <w:trPr/>
        <w:tc>
          <w:tcPr>
            <w:tcW w:w="3294" w:type="dxa"/>
            <w:tcBorders/>
            <w:vAlign w:val="bottom"/>
          </w:tcPr>
          <w:p>
            <w:pPr>
              <w:pStyle w:val="TableContents"/>
              <w:bidi w:val="0"/>
              <w:spacing w:before="0" w:after="283"/>
              <w:jc w:val="left"/>
              <w:rPr>
                <w:b/>
              </w:rPr>
            </w:pPr>
            <w:r>
              <w:rPr>
                <w:b/>
              </w:rPr>
              <w:t>Gross profit</w:t>
            </w:r>
          </w:p>
        </w:tc>
        <w:tc>
          <w:tcPr>
            <w:tcW w:w="174"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7" w:type="dxa"/>
            <w:tcBorders/>
            <w:vAlign w:val="bottom"/>
          </w:tcPr>
          <w:p>
            <w:pPr>
              <w:pStyle w:val="TableContents"/>
              <w:bidi w:val="0"/>
              <w:spacing w:before="0" w:after="283"/>
              <w:jc w:val="left"/>
              <w:rPr/>
            </w:pPr>
            <w:r>
              <w:rPr/>
              <w:t> </w:t>
            </w:r>
          </w:p>
        </w:tc>
      </w:tr>
      <w:tr>
        <w:trPr/>
        <w:tc>
          <w:tcPr>
            <w:tcW w:w="32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4460" w:type="dxa"/>
            <w:gridSpan w:val="10"/>
            <w:tcBorders/>
            <w:vAlign w:val="bottom"/>
          </w:tcPr>
          <w:p>
            <w:pPr>
              <w:pStyle w:val="TableContents"/>
              <w:bidi w:val="0"/>
              <w:spacing w:before="0" w:after="283"/>
              <w:jc w:val="center"/>
              <w:rPr>
                <w:b/>
              </w:rPr>
            </w:pPr>
            <w:r>
              <w:rPr>
                <w:b/>
              </w:rPr>
              <w:t>(RMB in thousands)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3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Central laboratory channel</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35,937</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30,126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39,322</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28,761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31,510</w:t>
            </w:r>
          </w:p>
        </w:tc>
        <w:tc>
          <w:tcPr>
            <w:tcW w:w="67" w:type="dxa"/>
            <w:tcBorders/>
            <w:shd w:fill="CCEEFF" w:val="clear"/>
            <w:vAlign w:val="bottom"/>
          </w:tcPr>
          <w:p>
            <w:pPr>
              <w:pStyle w:val="TableContents"/>
              <w:bidi w:val="0"/>
              <w:spacing w:before="0" w:after="283"/>
              <w:jc w:val="left"/>
              <w:rPr/>
            </w:pPr>
            <w:r>
              <w:rPr/>
              <w:t> </w:t>
            </w:r>
          </w:p>
        </w:tc>
      </w:tr>
      <w:tr>
        <w:trPr/>
        <w:tc>
          <w:tcPr>
            <w:tcW w:w="3294" w:type="dxa"/>
            <w:tcBorders/>
          </w:tcPr>
          <w:p>
            <w:pPr>
              <w:pStyle w:val="TableContents"/>
              <w:bidi w:val="0"/>
              <w:spacing w:before="0" w:after="0"/>
              <w:jc w:val="left"/>
              <w:rPr>
                <w:rFonts w:ascii="Times New Roman" w:hAnsi="Times New Roman"/>
                <w:sz w:val="20"/>
              </w:rPr>
            </w:pPr>
            <w:r>
              <w:rPr>
                <w:rFonts w:ascii="Times New Roman" w:hAnsi="Times New Roman"/>
                <w:sz w:val="20"/>
              </w:rPr>
              <w:t>In-hospital channel</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46,490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pPr>
            <w:r>
              <w:rPr/>
              <w:t>37,925</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38,388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38,458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51,760</w:t>
            </w:r>
          </w:p>
        </w:tc>
        <w:tc>
          <w:tcPr>
            <w:tcW w:w="67" w:type="dxa"/>
            <w:tcBorders/>
            <w:vAlign w:val="bottom"/>
          </w:tcPr>
          <w:p>
            <w:pPr>
              <w:pStyle w:val="TableContents"/>
              <w:bidi w:val="0"/>
              <w:spacing w:before="0" w:after="283"/>
              <w:jc w:val="left"/>
              <w:rPr/>
            </w:pPr>
            <w:r>
              <w:rPr/>
              <w:t> </w:t>
            </w:r>
          </w:p>
        </w:tc>
      </w:tr>
      <w:tr>
        <w:trPr/>
        <w:tc>
          <w:tcPr>
            <w:tcW w:w="3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Pharma research and development channel</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25,676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361" w:type="dxa"/>
            <w:tcBorders/>
            <w:shd w:fill="CCEEFF" w:val="clear"/>
            <w:vAlign w:val="bottom"/>
          </w:tcPr>
          <w:p>
            <w:pPr>
              <w:pStyle w:val="TableContents"/>
              <w:bidi w:val="0"/>
              <w:spacing w:before="0" w:after="283"/>
              <w:jc w:val="right"/>
              <w:rPr/>
            </w:pPr>
            <w:r>
              <w:rPr/>
              <w:t>30,793</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20,856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10,789</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14,543</w:t>
            </w:r>
          </w:p>
        </w:tc>
        <w:tc>
          <w:tcPr>
            <w:tcW w:w="67" w:type="dxa"/>
            <w:tcBorders/>
            <w:shd w:fill="CCEEFF" w:val="clear"/>
            <w:vAlign w:val="bottom"/>
          </w:tcPr>
          <w:p>
            <w:pPr>
              <w:pStyle w:val="TableContents"/>
              <w:bidi w:val="0"/>
              <w:spacing w:before="0" w:after="283"/>
              <w:jc w:val="left"/>
              <w:rPr/>
            </w:pPr>
            <w:r>
              <w:rPr/>
              <w:t> </w:t>
            </w:r>
          </w:p>
        </w:tc>
      </w:tr>
      <w:tr>
        <w:trPr/>
        <w:tc>
          <w:tcPr>
            <w:tcW w:w="329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gross profit</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b/>
              </w:rPr>
            </w:pPr>
            <w:r>
              <w:rPr>
                <w:b/>
              </w:rPr>
              <w:t>108,103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361" w:type="dxa"/>
            <w:tcBorders/>
            <w:vAlign w:val="bottom"/>
          </w:tcPr>
          <w:p>
            <w:pPr>
              <w:pStyle w:val="TableContents"/>
              <w:bidi w:val="0"/>
              <w:spacing w:before="0" w:after="283"/>
              <w:jc w:val="right"/>
              <w:rPr>
                <w:b/>
              </w:rPr>
            </w:pPr>
            <w:r>
              <w:rPr>
                <w:b/>
              </w:rPr>
              <w:t>98,844</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98,566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b/>
              </w:rPr>
            </w:pPr>
            <w:r>
              <w:rPr>
                <w:b/>
              </w:rPr>
              <w:t>78,008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b/>
              </w:rPr>
            </w:pPr>
            <w:r>
              <w:rPr>
                <w:b/>
              </w:rPr>
              <w:t>97,813</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10360" w:type="dxa"/>
        <w:jc w:val="center"/>
        <w:tblInd w:w="0" w:type="dxa"/>
        <w:tblLayout w:type="fixed"/>
        <w:tblCellMar>
          <w:top w:w="0" w:type="dxa"/>
          <w:left w:w="0" w:type="dxa"/>
          <w:bottom w:w="0" w:type="dxa"/>
          <w:right w:w="0" w:type="dxa"/>
        </w:tblCellMar>
      </w:tblPr>
      <w:tblGrid>
        <w:gridCol w:w="3680"/>
        <w:gridCol w:w="120"/>
        <w:gridCol w:w="84"/>
        <w:gridCol w:w="791"/>
        <w:gridCol w:w="155"/>
        <w:gridCol w:w="60"/>
        <w:gridCol w:w="142"/>
        <w:gridCol w:w="1333"/>
        <w:gridCol w:w="60"/>
        <w:gridCol w:w="120"/>
        <w:gridCol w:w="136"/>
        <w:gridCol w:w="1279"/>
        <w:gridCol w:w="60"/>
        <w:gridCol w:w="120"/>
        <w:gridCol w:w="103"/>
        <w:gridCol w:w="967"/>
        <w:gridCol w:w="155"/>
        <w:gridCol w:w="60"/>
        <w:gridCol w:w="84"/>
        <w:gridCol w:w="791"/>
        <w:gridCol w:w="60"/>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0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60"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b/>
              </w:rPr>
            </w:pPr>
            <w:r>
              <w:rPr>
                <w:b/>
              </w:rPr>
              <w:t>Share-based compensation expenses</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20" w:type="dxa"/>
            <w:gridSpan w:val="10"/>
            <w:tcBorders/>
            <w:vAlign w:val="bottom"/>
          </w:tcPr>
          <w:p>
            <w:pPr>
              <w:pStyle w:val="TableContents"/>
              <w:bidi w:val="0"/>
              <w:spacing w:before="0" w:after="283"/>
              <w:jc w:val="center"/>
              <w:rPr>
                <w:b/>
              </w:rPr>
            </w:pPr>
            <w:r>
              <w:rPr>
                <w:b/>
              </w:rPr>
              <w:t>(RMB in thousands)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301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141</w:t>
            </w:r>
          </w:p>
        </w:tc>
        <w:tc>
          <w:tcPr>
            <w:tcW w:w="60"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259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(345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345</w:t>
            </w:r>
          </w:p>
        </w:tc>
        <w:tc>
          <w:tcPr>
            <w:tcW w:w="60" w:type="dxa"/>
            <w:tcBorders/>
            <w:vAlign w:val="bottom"/>
          </w:tcPr>
          <w:p>
            <w:pPr>
              <w:pStyle w:val="TableContents"/>
              <w:bidi w:val="0"/>
              <w:spacing w:before="0" w:after="283"/>
              <w:jc w:val="left"/>
              <w:rPr/>
            </w:pPr>
            <w:r>
              <w:rPr/>
              <w:t> </w:t>
            </w:r>
          </w:p>
        </w:tc>
      </w:tr>
      <w:tr>
        <w:trPr/>
        <w:tc>
          <w:tcPr>
            <w:tcW w:w="3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 expenses</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364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624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748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269</w:t>
            </w:r>
          </w:p>
        </w:tc>
        <w:tc>
          <w:tcPr>
            <w:tcW w:w="60" w:type="dxa"/>
            <w:tcBorders/>
            <w:shd w:fill="CCEEFF" w:val="clear"/>
            <w:vAlign w:val="bottom"/>
          </w:tcPr>
          <w:p>
            <w:pPr>
              <w:pStyle w:val="TableContents"/>
              <w:bidi w:val="0"/>
              <w:spacing w:before="0" w:after="283"/>
              <w:jc w:val="left"/>
              <w:rPr/>
            </w:pPr>
            <w:r>
              <w:rPr/>
              <w:t> </w:t>
            </w:r>
          </w:p>
        </w:tc>
      </w:tr>
      <w:tr>
        <w:trPr/>
        <w:tc>
          <w:tcPr>
            <w:tcW w:w="368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2,831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1,815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1,907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1,244</w:t>
            </w:r>
          </w:p>
        </w:tc>
        <w:tc>
          <w:tcPr>
            <w:tcW w:w="60"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share-based compensation expenses</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2,379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b/>
              </w:rPr>
            </w:pPr>
            <w:r>
              <w:rPr>
                <w:b/>
              </w:rPr>
              <w:t>3,829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b/>
              </w:rPr>
            </w:pPr>
            <w:r>
              <w:rPr>
                <w:b/>
              </w:rPr>
              <w:t>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b/>
              </w:rPr>
            </w:pPr>
            <w:r>
              <w:rPr>
                <w:b/>
              </w:rPr>
              <w:t>1,808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1,999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Burning Rock Biotech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Statements of Comprehensive Loss </w:t>
      </w:r>
    </w:p>
    <w:p>
      <w:pPr>
        <w:pStyle w:val="TextBody"/>
        <w:bidi w:val="0"/>
        <w:spacing w:before="120" w:after="0"/>
        <w:jc w:val="center"/>
        <w:rPr>
          <w:rFonts w:ascii="Times New Roman" w:hAnsi="Times New Roman"/>
          <w:i/>
          <w:sz w:val="20"/>
        </w:rPr>
      </w:pPr>
      <w:r>
        <w:rPr>
          <w:rFonts w:ascii="Times New Roman" w:hAnsi="Times New Roman"/>
          <w:i/>
          <w:sz w:val="20"/>
        </w:rPr>
        <w:t xml:space="preserve">(in thousands, except for number of shares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8"/>
        <w:gridCol w:w="120"/>
        <w:gridCol w:w="60"/>
        <w:gridCol w:w="1100"/>
        <w:gridCol w:w="155"/>
        <w:gridCol w:w="60"/>
        <w:gridCol w:w="76"/>
        <w:gridCol w:w="1399"/>
        <w:gridCol w:w="155"/>
        <w:gridCol w:w="60"/>
        <w:gridCol w:w="73"/>
        <w:gridCol w:w="1342"/>
        <w:gridCol w:w="155"/>
        <w:gridCol w:w="60"/>
        <w:gridCol w:w="60"/>
        <w:gridCol w:w="1100"/>
        <w:gridCol w:w="155"/>
        <w:gridCol w:w="60"/>
        <w:gridCol w:w="60"/>
        <w:gridCol w:w="1100"/>
        <w:gridCol w:w="154"/>
        <w:gridCol w:w="60"/>
        <w:gridCol w:w="60"/>
        <w:gridCol w:w="1100"/>
        <w:gridCol w:w="163"/>
      </w:tblGrid>
      <w:tr>
        <w:trPr/>
        <w:tc>
          <w:tcPr>
            <w:tcW w:w="13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163" w:type="dxa"/>
            <w:tcBorders/>
            <w:vAlign w:val="bottom"/>
          </w:tcPr>
          <w:p>
            <w:pPr>
              <w:pStyle w:val="TableContents"/>
              <w:bidi w:val="0"/>
              <w:spacing w:before="0" w:after="283"/>
              <w:jc w:val="left"/>
              <w:rPr/>
            </w:pPr>
            <w:r>
              <w:rPr/>
              <w:t> </w:t>
            </w:r>
          </w:p>
        </w:tc>
      </w:tr>
      <w:tr>
        <w:trPr/>
        <w:tc>
          <w:tcPr>
            <w:tcW w:w="13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3" w:type="dxa"/>
            <w:tcBorders/>
            <w:vAlign w:val="bottom"/>
          </w:tcPr>
          <w:p>
            <w:pPr>
              <w:pStyle w:val="TableContents"/>
              <w:bidi w:val="0"/>
              <w:spacing w:before="0" w:after="283"/>
              <w:jc w:val="left"/>
              <w:rPr/>
            </w:pPr>
            <w:r>
              <w:rPr/>
              <w:t> </w:t>
            </w:r>
          </w:p>
        </w:tc>
      </w:tr>
      <w:tr>
        <w:trPr/>
        <w:tc>
          <w:tcPr>
            <w:tcW w:w="1318"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b/>
              </w:rPr>
            </w:pPr>
            <w:r>
              <w:rPr>
                <w:b/>
              </w:rPr>
              <w:t>RMB</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center"/>
              <w:rPr>
                <w:b/>
              </w:rPr>
            </w:pPr>
            <w:r>
              <w:rPr>
                <w:b/>
              </w:rPr>
              <w:t>US$</w:t>
            </w:r>
          </w:p>
        </w:tc>
        <w:tc>
          <w:tcPr>
            <w:tcW w:w="163" w:type="dxa"/>
            <w:tcBorders/>
            <w:vAlign w:val="bottom"/>
          </w:tcPr>
          <w:p>
            <w:pPr>
              <w:pStyle w:val="TableContents"/>
              <w:bidi w:val="0"/>
              <w:spacing w:before="0" w:after="283"/>
              <w:jc w:val="left"/>
              <w:rPr/>
            </w:pPr>
            <w:r>
              <w:rPr/>
              <w:t> </w:t>
            </w:r>
          </w:p>
        </w:tc>
      </w:tr>
      <w:tr>
        <w:trPr/>
        <w:tc>
          <w:tcPr>
            <w:tcW w:w="1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148,554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131,617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b/>
              </w:rPr>
            </w:pPr>
            <w:r>
              <w:rPr>
                <w:b/>
              </w:rPr>
              <w:t>126,315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107,943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134,765</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19,862</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(40,451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(32,773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b/>
              </w:rPr>
            </w:pPr>
            <w:r>
              <w:rPr>
                <w:b/>
              </w:rPr>
              <w:t>(27,749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(29,935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(36,952</w:t>
            </w:r>
          </w:p>
        </w:tc>
        <w:tc>
          <w:tcPr>
            <w:tcW w:w="15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(5,446</w:t>
            </w:r>
          </w:p>
        </w:tc>
        <w:tc>
          <w:tcPr>
            <w:tcW w:w="163" w:type="dxa"/>
            <w:tcBorders/>
            <w:vAlign w:val="bottom"/>
          </w:tcPr>
          <w:p>
            <w:pPr>
              <w:pStyle w:val="TableContents"/>
              <w:bidi w:val="0"/>
              <w:spacing w:before="0" w:after="283"/>
              <w:jc w:val="left"/>
              <w:rPr>
                <w:b/>
              </w:rPr>
            </w:pPr>
            <w:r>
              <w:rPr>
                <w:b/>
              </w:rPr>
              <w:t>) </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108,103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98,844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b/>
              </w:rPr>
            </w:pPr>
            <w:r>
              <w:rPr>
                <w:b/>
              </w:rPr>
              <w:t>98,566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78,008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97,813</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14,416</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(49,770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(41,469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(34,866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(27,559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(31,230</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(4,603</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tcPr>
          <w:p>
            <w:pPr>
              <w:pStyle w:val="TableContents"/>
              <w:bidi w:val="0"/>
              <w:spacing w:before="0" w:after="0"/>
              <w:jc w:val="left"/>
              <w:rPr>
                <w:rFonts w:ascii="Times New Roman" w:hAnsi="Times New Roman"/>
                <w:sz w:val="20"/>
              </w:rPr>
            </w:pPr>
            <w:r>
              <w:rPr>
                <w:rFonts w:ascii="Times New Roman" w:hAnsi="Times New Roman"/>
                <w:sz w:val="20"/>
              </w:rPr>
              <w:t>Selling and marketing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(38,413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(41,808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(44,066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(41,206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(47,141</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(6,948</w:t>
            </w:r>
          </w:p>
        </w:tc>
        <w:tc>
          <w:tcPr>
            <w:tcW w:w="163" w:type="dxa"/>
            <w:tcBorders/>
            <w:vAlign w:val="bottom"/>
          </w:tcPr>
          <w:p>
            <w:pPr>
              <w:pStyle w:val="TableContents"/>
              <w:bidi w:val="0"/>
              <w:spacing w:before="0" w:after="283"/>
              <w:jc w:val="left"/>
              <w:rPr/>
            </w:pPr>
            <w:r>
              <w:rPr/>
              <w:t>) </w:t>
            </w:r>
          </w:p>
        </w:tc>
      </w:tr>
      <w:tr>
        <w:trPr/>
        <w:tc>
          <w:tcPr>
            <w:tcW w:w="1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(31,417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(31,698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(31,672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(28,088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(37,443</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(5,518</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(119,600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(114,975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b/>
              </w:rPr>
            </w:pPr>
            <w:r>
              <w:rPr>
                <w:b/>
              </w:rPr>
              <w:t>(110,604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(96,853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(115,814</w:t>
            </w:r>
          </w:p>
        </w:tc>
        <w:tc>
          <w:tcPr>
            <w:tcW w:w="15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(17,069</w:t>
            </w:r>
          </w:p>
        </w:tc>
        <w:tc>
          <w:tcPr>
            <w:tcW w:w="163" w:type="dxa"/>
            <w:tcBorders/>
            <w:vAlign w:val="bottom"/>
          </w:tcPr>
          <w:p>
            <w:pPr>
              <w:pStyle w:val="TableContents"/>
              <w:bidi w:val="0"/>
              <w:spacing w:before="0" w:after="283"/>
              <w:jc w:val="left"/>
              <w:rPr>
                <w:b/>
              </w:rPr>
            </w:pPr>
            <w:r>
              <w:rPr>
                <w:b/>
              </w:rPr>
              <w:t>) </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(11,497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(16,131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b/>
              </w:rPr>
            </w:pPr>
            <w:r>
              <w:rPr>
                <w:b/>
              </w:rPr>
              <w:t>(12,038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(18,845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(18,001</w:t>
            </w:r>
          </w:p>
        </w:tc>
        <w:tc>
          <w:tcPr>
            <w:tcW w:w="154"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(2,653</w:t>
            </w:r>
          </w:p>
        </w:tc>
        <w:tc>
          <w:tcPr>
            <w:tcW w:w="163" w:type="dxa"/>
            <w:tcBorders/>
            <w:shd w:fill="CCEEFF" w:val="clear"/>
            <w:vAlign w:val="bottom"/>
          </w:tcPr>
          <w:p>
            <w:pPr>
              <w:pStyle w:val="TableContents"/>
              <w:bidi w:val="0"/>
              <w:spacing w:before="0" w:after="283"/>
              <w:jc w:val="left"/>
              <w:rPr>
                <w:b/>
              </w:rPr>
            </w:pPr>
            <w:r>
              <w:rPr>
                <w:b/>
              </w:rPr>
              <w:t>) </w:t>
            </w:r>
          </w:p>
        </w:tc>
      </w:tr>
      <w:tr>
        <w:trPr/>
        <w:tc>
          <w:tcPr>
            <w:tcW w:w="131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1,744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1,502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1,370</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202</w:t>
            </w:r>
          </w:p>
        </w:tc>
        <w:tc>
          <w:tcPr>
            <w:tcW w:w="163" w:type="dxa"/>
            <w:tcBorders/>
            <w:vAlign w:val="bottom"/>
          </w:tcPr>
          <w:p>
            <w:pPr>
              <w:pStyle w:val="TableContents"/>
              <w:bidi w:val="0"/>
              <w:spacing w:before="0" w:after="283"/>
              <w:jc w:val="left"/>
              <w:rPr/>
            </w:pPr>
            <w:r>
              <w:rPr/>
              <w:t> </w:t>
            </w:r>
          </w:p>
        </w:tc>
      </w:tr>
      <w:tr>
        <w:trPr/>
        <w:tc>
          <w:tcPr>
            <w:tcW w:w="1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(199</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w:t>
            </w:r>
          </w:p>
        </w:tc>
        <w:tc>
          <w:tcPr>
            <w:tcW w:w="163" w:type="dxa"/>
            <w:tcBorders/>
            <w:vAlign w:val="bottom"/>
          </w:tcPr>
          <w:p>
            <w:pPr>
              <w:pStyle w:val="TableContents"/>
              <w:bidi w:val="0"/>
              <w:spacing w:before="0" w:after="283"/>
              <w:jc w:val="left"/>
              <w:rPr/>
            </w:pPr>
            <w:r>
              <w:rPr/>
              <w:t>) </w:t>
            </w:r>
          </w:p>
        </w:tc>
      </w:tr>
      <w:tr>
        <w:trPr/>
        <w:tc>
          <w:tcPr>
            <w:tcW w:w="1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 gain, net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(2,151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(3,960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(1,278</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(188</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(9,458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(16,546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b/>
              </w:rPr>
            </w:pPr>
            <w:r>
              <w:rPr>
                <w:b/>
              </w:rPr>
              <w:t>(14,510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(17,240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(18,123</w:t>
            </w:r>
          </w:p>
        </w:tc>
        <w:tc>
          <w:tcPr>
            <w:tcW w:w="15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(2,670</w:t>
            </w:r>
          </w:p>
        </w:tc>
        <w:tc>
          <w:tcPr>
            <w:tcW w:w="163" w:type="dxa"/>
            <w:tcBorders/>
            <w:vAlign w:val="bottom"/>
          </w:tcPr>
          <w:p>
            <w:pPr>
              <w:pStyle w:val="TableContents"/>
              <w:bidi w:val="0"/>
              <w:spacing w:before="0" w:after="283"/>
              <w:jc w:val="left"/>
              <w:rPr>
                <w:b/>
              </w:rPr>
            </w:pPr>
            <w:r>
              <w:rPr>
                <w:b/>
              </w:rPr>
              <w:t>) </w:t>
            </w:r>
          </w:p>
        </w:tc>
      </w:tr>
      <w:tr>
        <w:trPr/>
        <w:tc>
          <w:tcPr>
            <w:tcW w:w="1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(876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(287</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(42</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3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(9,702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(16,758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b/>
              </w:rPr>
            </w:pPr>
            <w:r>
              <w:rPr>
                <w:b/>
              </w:rPr>
              <w:t>(15,386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(17,472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(18,410</w:t>
            </w:r>
          </w:p>
        </w:tc>
        <w:tc>
          <w:tcPr>
            <w:tcW w:w="15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(2,712</w:t>
            </w:r>
          </w:p>
        </w:tc>
        <w:tc>
          <w:tcPr>
            <w:tcW w:w="163" w:type="dxa"/>
            <w:tcBorders/>
            <w:vAlign w:val="bottom"/>
          </w:tcPr>
          <w:p>
            <w:pPr>
              <w:pStyle w:val="TableContents"/>
              <w:bidi w:val="0"/>
              <w:spacing w:before="0" w:after="283"/>
              <w:jc w:val="left"/>
              <w:rPr>
                <w:b/>
              </w:rPr>
            </w:pPr>
            <w:r>
              <w:rPr>
                <w:b/>
              </w:rPr>
              <w:t>) </w:t>
            </w:r>
          </w:p>
        </w:tc>
      </w:tr>
      <w:tr>
        <w:trPr/>
        <w:tc>
          <w:tcPr>
            <w:tcW w:w="131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3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Burning Rock Biotech Limited’s shareholders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(9,702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(16,758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b/>
              </w:rPr>
            </w:pPr>
            <w:r>
              <w:rPr>
                <w:b/>
              </w:rPr>
              <w:t>(15,386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(17,472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(18,410</w:t>
            </w:r>
          </w:p>
        </w:tc>
        <w:tc>
          <w:tcPr>
            <w:tcW w:w="154"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(2,712</w:t>
            </w:r>
          </w:p>
        </w:tc>
        <w:tc>
          <w:tcPr>
            <w:tcW w:w="163" w:type="dxa"/>
            <w:tcBorders/>
            <w:shd w:fill="CCEEFF" w:val="clear"/>
            <w:vAlign w:val="bottom"/>
          </w:tcPr>
          <w:p>
            <w:pPr>
              <w:pStyle w:val="TableContents"/>
              <w:bidi w:val="0"/>
              <w:spacing w:before="0" w:after="283"/>
              <w:jc w:val="left"/>
              <w:rPr>
                <w:b/>
              </w:rPr>
            </w:pPr>
            <w:r>
              <w:rPr>
                <w:b/>
              </w:rPr>
              <w:t>) </w:t>
            </w:r>
          </w:p>
        </w:tc>
      </w:tr>
      <w:tr>
        <w:trPr/>
        <w:tc>
          <w:tcPr>
            <w:tcW w:w="1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(9,702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(16,758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b/>
              </w:rPr>
            </w:pPr>
            <w:r>
              <w:rPr>
                <w:b/>
              </w:rPr>
              <w:t>(15,386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(17,472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(18,410</w:t>
            </w:r>
          </w:p>
        </w:tc>
        <w:tc>
          <w:tcPr>
            <w:tcW w:w="15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(2,712</w:t>
            </w:r>
          </w:p>
        </w:tc>
        <w:tc>
          <w:tcPr>
            <w:tcW w:w="163" w:type="dxa"/>
            <w:tcBorders/>
            <w:vAlign w:val="bottom"/>
          </w:tcPr>
          <w:p>
            <w:pPr>
              <w:pStyle w:val="TableContents"/>
              <w:bidi w:val="0"/>
              <w:spacing w:before="0" w:after="283"/>
              <w:jc w:val="left"/>
              <w:rPr>
                <w:b/>
              </w:rPr>
            </w:pPr>
            <w:r>
              <w:rPr>
                <w:b/>
              </w:rPr>
              <w:t>) </w:t>
            </w:r>
          </w:p>
        </w:tc>
      </w:tr>
      <w:tr>
        <w:trPr/>
        <w:tc>
          <w:tcPr>
            <w:tcW w:w="13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per share for class A and class B ordinary shares: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318"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 basic and diluted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(0.17</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(0.02</w:t>
            </w:r>
          </w:p>
        </w:tc>
        <w:tc>
          <w:tcPr>
            <w:tcW w:w="163" w:type="dxa"/>
            <w:tcBorders/>
            <w:vAlign w:val="bottom"/>
          </w:tcPr>
          <w:p>
            <w:pPr>
              <w:pStyle w:val="TableContents"/>
              <w:bidi w:val="0"/>
              <w:spacing w:before="0" w:after="283"/>
              <w:jc w:val="left"/>
              <w:rPr/>
            </w:pPr>
            <w:r>
              <w:rPr/>
              <w:t>) </w:t>
            </w:r>
          </w:p>
        </w:tc>
      </w:tr>
      <w:tr>
        <w:trPr/>
        <w:tc>
          <w:tcPr>
            <w:tcW w:w="1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 basic and diluted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(0.16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(0.15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(0.17</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(0.02</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used in loss per share computation: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13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3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 basic and diluted</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90,357,970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90,416,619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pPr>
            <w:r>
              <w:rPr/>
              <w:t>87,444,109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87,871,026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91,279,393</w:t>
            </w:r>
          </w:p>
        </w:tc>
        <w:tc>
          <w:tcPr>
            <w:tcW w:w="1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91,279,393</w:t>
            </w:r>
          </w:p>
        </w:tc>
        <w:tc>
          <w:tcPr>
            <w:tcW w:w="163" w:type="dxa"/>
            <w:tcBorders/>
            <w:shd w:fill="CCEEFF" w:val="clear"/>
            <w:vAlign w:val="bottom"/>
          </w:tcPr>
          <w:p>
            <w:pPr>
              <w:pStyle w:val="TableContents"/>
              <w:bidi w:val="0"/>
              <w:spacing w:before="0" w:after="283"/>
              <w:jc w:val="left"/>
              <w:rPr/>
            </w:pPr>
            <w:r>
              <w:rPr/>
              <w:t> </w:t>
            </w:r>
          </w:p>
        </w:tc>
      </w:tr>
      <w:tr>
        <w:trPr/>
        <w:tc>
          <w:tcPr>
            <w:tcW w:w="1318"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 - basic and diluted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17,324,848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17,324,848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17,324,848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17,324,848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17,324,848</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17,324,848</w:t>
            </w:r>
          </w:p>
        </w:tc>
        <w:tc>
          <w:tcPr>
            <w:tcW w:w="163" w:type="dxa"/>
            <w:tcBorders/>
            <w:vAlign w:val="bottom"/>
          </w:tcPr>
          <w:p>
            <w:pPr>
              <w:pStyle w:val="TableContents"/>
              <w:bidi w:val="0"/>
              <w:spacing w:before="0" w:after="283"/>
              <w:jc w:val="left"/>
              <w:rPr/>
            </w:pPr>
            <w:r>
              <w:rPr/>
              <w:t> </w:t>
            </w:r>
          </w:p>
        </w:tc>
      </w:tr>
      <w:tr>
        <w:trPr/>
        <w:tc>
          <w:tcPr>
            <w:tcW w:w="13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net of tax of nil:</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3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31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pPr>
            <w:r>
              <w:rPr/>
              <w:t>(2,050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(2,971</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(438</w:t>
            </w:r>
          </w:p>
        </w:tc>
        <w:tc>
          <w:tcPr>
            <w:tcW w:w="163" w:type="dxa"/>
            <w:tcBorders/>
            <w:vAlign w:val="bottom"/>
          </w:tcPr>
          <w:p>
            <w:pPr>
              <w:pStyle w:val="TableContents"/>
              <w:bidi w:val="0"/>
              <w:spacing w:before="0" w:after="283"/>
              <w:jc w:val="left"/>
              <w:rPr/>
            </w:pPr>
            <w:r>
              <w:rPr/>
              <w:t>) </w:t>
            </w:r>
          </w:p>
        </w:tc>
      </w:tr>
      <w:tr>
        <w:trPr/>
        <w:tc>
          <w:tcPr>
            <w:tcW w:w="131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(9,945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b/>
              </w:rPr>
            </w:pPr>
            <w:r>
              <w:rPr>
                <w:b/>
              </w:rPr>
              <w:t>(18,482</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342" w:type="dxa"/>
            <w:tcBorders/>
            <w:shd w:fill="CCEEFF" w:val="clear"/>
            <w:vAlign w:val="bottom"/>
          </w:tcPr>
          <w:p>
            <w:pPr>
              <w:pStyle w:val="TableContents"/>
              <w:bidi w:val="0"/>
              <w:spacing w:before="0" w:after="283"/>
              <w:jc w:val="right"/>
              <w:rPr>
                <w:b/>
              </w:rPr>
            </w:pPr>
            <w:r>
              <w:rPr>
                <w:b/>
              </w:rPr>
              <w:t>(17,436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(20,615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(21,381</w:t>
            </w:r>
          </w:p>
        </w:tc>
        <w:tc>
          <w:tcPr>
            <w:tcW w:w="154"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(3,150</w:t>
            </w:r>
          </w:p>
        </w:tc>
        <w:tc>
          <w:tcPr>
            <w:tcW w:w="163" w:type="dxa"/>
            <w:tcBorders/>
            <w:shd w:fill="CCEEFF" w:val="clear"/>
            <w:vAlign w:val="bottom"/>
          </w:tcPr>
          <w:p>
            <w:pPr>
              <w:pStyle w:val="TableContents"/>
              <w:bidi w:val="0"/>
              <w:spacing w:before="0" w:after="283"/>
              <w:jc w:val="left"/>
              <w:rPr>
                <w:b/>
              </w:rPr>
            </w:pPr>
            <w:r>
              <w:rPr>
                <w:b/>
              </w:rPr>
              <w:t>) </w:t>
            </w:r>
          </w:p>
        </w:tc>
      </w:tr>
      <w:tr>
        <w:trPr/>
        <w:tc>
          <w:tcPr>
            <w:tcW w:w="131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loss attributable to Burning Rock Biotech Limited’s shareholders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(9,945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b/>
              </w:rPr>
            </w:pPr>
            <w:r>
              <w:rPr>
                <w:b/>
              </w:rPr>
              <w:t>(18,482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342" w:type="dxa"/>
            <w:tcBorders/>
            <w:vAlign w:val="bottom"/>
          </w:tcPr>
          <w:p>
            <w:pPr>
              <w:pStyle w:val="TableContents"/>
              <w:bidi w:val="0"/>
              <w:spacing w:before="0" w:after="283"/>
              <w:jc w:val="right"/>
              <w:rPr>
                <w:b/>
              </w:rPr>
            </w:pPr>
            <w:r>
              <w:rPr>
                <w:b/>
              </w:rPr>
              <w:t>(17,436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(20,615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(21,381</w:t>
            </w:r>
          </w:p>
        </w:tc>
        <w:tc>
          <w:tcPr>
            <w:tcW w:w="154"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(3,150</w:t>
            </w:r>
          </w:p>
        </w:tc>
        <w:tc>
          <w:tcPr>
            <w:tcW w:w="163"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Burning Rock Biotech Limited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Consolidated Balance Sheets </w:t>
      </w:r>
    </w:p>
    <w:p>
      <w:pPr>
        <w:pStyle w:val="TextBody"/>
        <w:bidi w:val="0"/>
        <w:spacing w:before="120" w:after="0"/>
        <w:jc w:val="center"/>
        <w:rPr>
          <w:rFonts w:ascii="Times New Roman" w:hAnsi="Times New Roman"/>
          <w:sz w:val="20"/>
        </w:rPr>
      </w:pPr>
      <w:r>
        <w:rPr>
          <w:rFonts w:ascii="Times New Roman" w:hAnsi="Times New Roman"/>
          <w:i/>
          <w:sz w:val="20"/>
        </w:rPr>
        <w:t>(In thousands)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1"/>
        <w:gridCol w:w="149"/>
        <w:gridCol w:w="98"/>
        <w:gridCol w:w="1359"/>
        <w:gridCol w:w="60"/>
        <w:gridCol w:w="149"/>
        <w:gridCol w:w="60"/>
        <w:gridCol w:w="807"/>
        <w:gridCol w:w="60"/>
        <w:gridCol w:w="149"/>
        <w:gridCol w:w="60"/>
        <w:gridCol w:w="807"/>
        <w:gridCol w:w="66"/>
      </w:tblGrid>
      <w:tr>
        <w:trPr/>
        <w:tc>
          <w:tcPr>
            <w:tcW w:w="6381"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38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60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6"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6" w:type="dxa"/>
            <w:tcBorders/>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67"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67" w:type="dxa"/>
            <w:gridSpan w:val="2"/>
            <w:tcBorders/>
            <w:vAlign w:val="bottom"/>
          </w:tcPr>
          <w:p>
            <w:pPr>
              <w:pStyle w:val="TableContents"/>
              <w:bidi w:val="0"/>
              <w:spacing w:before="0" w:after="283"/>
              <w:jc w:val="center"/>
              <w:rPr>
                <w:b/>
              </w:rPr>
            </w:pPr>
            <w:r>
              <w:rPr>
                <w:b/>
              </w:rPr>
              <w:t>US$</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5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6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478,392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416,818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61,431</w:t>
            </w:r>
          </w:p>
        </w:tc>
        <w:tc>
          <w:tcPr>
            <w:tcW w:w="66"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2,696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2,290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338</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169,611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172,768</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25,463</w:t>
            </w:r>
          </w:p>
        </w:tc>
        <w:tc>
          <w:tcPr>
            <w:tcW w:w="66"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 net</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12,301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9,777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1,441</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48,576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34,131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5,030</w:t>
            </w:r>
          </w:p>
        </w:tc>
        <w:tc>
          <w:tcPr>
            <w:tcW w:w="66"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20"/>
              </w:rPr>
            </w:pPr>
            <w:r>
              <w:rPr>
                <w:rFonts w:ascii="Times New Roman" w:hAnsi="Times New Roman"/>
                <w:sz w:val="20"/>
              </w:rPr>
              <w:t>Contract costs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8,399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5,597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825</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18,611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22,636</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3,337</w:t>
            </w:r>
          </w:p>
        </w:tc>
        <w:tc>
          <w:tcPr>
            <w:tcW w:w="66"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b/>
              </w:rPr>
            </w:pPr>
            <w:r>
              <w:rPr>
                <w:b/>
              </w:rPr>
              <w:t>738,586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664,017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97,865</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31,099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31,808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4,688</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right-of-use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42,774</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46,282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6,821</w:t>
            </w:r>
          </w:p>
        </w:tc>
        <w:tc>
          <w:tcPr>
            <w:tcW w:w="66" w:type="dxa"/>
            <w:tcBorders/>
            <w:shd w:fill="CCEEFF" w:val="clear"/>
            <w:vAlign w:val="bottom"/>
          </w:tcPr>
          <w:p>
            <w:pPr>
              <w:pStyle w:val="TableContents"/>
              <w:bidi w:val="0"/>
              <w:spacing w:before="0" w:after="283"/>
              <w:jc w:val="left"/>
              <w:rPr/>
            </w:pPr>
            <w:r>
              <w:rPr/>
              <w:t> </w:t>
            </w:r>
          </w:p>
        </w:tc>
      </w:tr>
      <w:tr>
        <w:trPr/>
        <w:tc>
          <w:tcPr>
            <w:tcW w:w="6381"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pPr>
            <w:r>
              <w:rPr/>
              <w:t>284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233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35</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pPr>
            <w:r>
              <w:rPr/>
              <w:t>7,632</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8,271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1,219</w:t>
            </w:r>
          </w:p>
        </w:tc>
        <w:tc>
          <w:tcPr>
            <w:tcW w:w="66"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38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59" w:type="dxa"/>
            <w:tcBorders/>
            <w:vAlign w:val="bottom"/>
          </w:tcPr>
          <w:p>
            <w:pPr>
              <w:pStyle w:val="TableContents"/>
              <w:bidi w:val="0"/>
              <w:spacing w:before="0" w:after="283"/>
              <w:jc w:val="right"/>
              <w:rPr>
                <w:b/>
              </w:rPr>
            </w:pPr>
            <w:r>
              <w:rPr>
                <w:b/>
              </w:rPr>
              <w:t>81,789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86,594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12,763</w:t>
            </w:r>
          </w:p>
        </w:tc>
        <w:tc>
          <w:tcPr>
            <w:tcW w:w="66" w:type="dxa"/>
            <w:tcBorders/>
            <w:vAlign w:val="bottom"/>
          </w:tcPr>
          <w:p>
            <w:pPr>
              <w:pStyle w:val="TableContents"/>
              <w:bidi w:val="0"/>
              <w:spacing w:before="0" w:after="283"/>
              <w:jc w:val="left"/>
              <w:rPr/>
            </w:pPr>
            <w:r>
              <w:rPr/>
              <w:t> </w:t>
            </w:r>
          </w:p>
        </w:tc>
      </w:tr>
      <w:tr>
        <w:trPr/>
        <w:tc>
          <w:tcPr>
            <w:tcW w:w="63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9"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59" w:type="dxa"/>
            <w:tcBorders/>
            <w:shd w:fill="CCEEFF" w:val="clear"/>
            <w:vAlign w:val="bottom"/>
          </w:tcPr>
          <w:p>
            <w:pPr>
              <w:pStyle w:val="TableContents"/>
              <w:bidi w:val="0"/>
              <w:spacing w:before="0" w:after="283"/>
              <w:jc w:val="right"/>
              <w:rPr>
                <w:b/>
              </w:rPr>
            </w:pPr>
            <w:r>
              <w:rPr>
                <w:b/>
              </w:rPr>
              <w:t>820,375</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750,611</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110,628</w:t>
            </w:r>
          </w:p>
        </w:tc>
        <w:tc>
          <w:tcPr>
            <w:tcW w:w="66" w:type="dxa"/>
            <w:tcBorders/>
            <w:shd w:fill="CCEEFF" w:val="clear"/>
            <w:vAlign w:val="bottom"/>
          </w:tcPr>
          <w:p>
            <w:pPr>
              <w:pStyle w:val="TableContents"/>
              <w:bidi w:val="0"/>
              <w:spacing w:before="0" w:after="283"/>
              <w:jc w:val="left"/>
              <w:rPr/>
            </w:pPr>
            <w:r>
              <w:rPr/>
              <w:t> </w:t>
            </w:r>
          </w:p>
        </w:tc>
      </w:tr>
      <w:tr>
        <w:trPr/>
        <w:tc>
          <w:tcPr>
            <w:tcW w:w="6381"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Burning Rock Biotech Limited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Consolidated Balance Sheets (Continued) </w:t>
      </w:r>
    </w:p>
    <w:p>
      <w:pPr>
        <w:pStyle w:val="TextBody"/>
        <w:bidi w:val="0"/>
        <w:spacing w:before="12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2"/>
        <w:gridCol w:w="144"/>
        <w:gridCol w:w="76"/>
        <w:gridCol w:w="1347"/>
        <w:gridCol w:w="155"/>
        <w:gridCol w:w="104"/>
        <w:gridCol w:w="60"/>
        <w:gridCol w:w="1092"/>
        <w:gridCol w:w="155"/>
        <w:gridCol w:w="104"/>
        <w:gridCol w:w="60"/>
        <w:gridCol w:w="907"/>
        <w:gridCol w:w="159"/>
      </w:tblGrid>
      <w:tr>
        <w:trPr/>
        <w:tc>
          <w:tcPr>
            <w:tcW w:w="5842"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84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40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159" w:type="dxa"/>
            <w:tcBorders/>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9" w:type="dxa"/>
            <w:tcBorders/>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15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67"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842"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40,744</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17,950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2,646</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107,819</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109,170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16,090</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liabilities and other current liabilities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80,861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68,458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10,090</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Customer deposits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592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87</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borrowings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29</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16,762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21,172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3,120</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b/>
              </w:rPr>
            </w:pPr>
            <w:r>
              <w:rPr>
                <w:b/>
              </w:rPr>
              <w:t>246,978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b/>
              </w:rPr>
            </w:pPr>
            <w:r>
              <w:rPr>
                <w:b/>
              </w:rPr>
              <w:t>217,542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32,062</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1,700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1,600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236</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portion of operating lease liabilities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24,458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22,140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3,263</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11,975</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12,248</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1,805</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b/>
              </w:rPr>
            </w:pPr>
            <w:r>
              <w:rPr>
                <w:b/>
              </w:rPr>
              <w:t>38,133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b/>
              </w:rPr>
            </w:pPr>
            <w:r>
              <w:rPr>
                <w:b/>
              </w:rPr>
              <w:t>35,988</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5,304</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b/>
              </w:rPr>
            </w:pPr>
            <w:r>
              <w:rPr>
                <w:b/>
              </w:rPr>
              <w:t>285,111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b/>
              </w:rPr>
            </w:pPr>
            <w:r>
              <w:rPr>
                <w:b/>
              </w:rPr>
              <w:t>253,530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37,366</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19</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Class B ordinary shares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5,010,060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5,013,867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738,953</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(57,193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(57,193</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(8,429</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deficits</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(4,255,607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(4,291,489</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(632,487</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(162,137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(168,251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(24,797</w:t>
            </w:r>
          </w:p>
        </w:tc>
        <w:tc>
          <w:tcPr>
            <w:tcW w:w="159" w:type="dxa"/>
            <w:tcBorders/>
            <w:vAlign w:val="bottom"/>
          </w:tcPr>
          <w:p>
            <w:pPr>
              <w:pStyle w:val="TableContents"/>
              <w:bidi w:val="0"/>
              <w:spacing w:before="0" w:after="283"/>
              <w:jc w:val="left"/>
              <w:rPr/>
            </w:pPr>
            <w:r>
              <w:rPr/>
              <w:t>) </w:t>
            </w:r>
          </w:p>
        </w:tc>
      </w:tr>
      <w:tr>
        <w:trPr/>
        <w:tc>
          <w:tcPr>
            <w:tcW w:w="58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4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b/>
              </w:rPr>
            </w:pPr>
            <w:r>
              <w:rPr>
                <w:b/>
              </w:rPr>
              <w:t>535,264</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b/>
              </w:rPr>
            </w:pPr>
            <w:r>
              <w:rPr>
                <w:b/>
              </w:rPr>
              <w:t>497,081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73,262</w:t>
            </w:r>
          </w:p>
        </w:tc>
        <w:tc>
          <w:tcPr>
            <w:tcW w:w="159" w:type="dxa"/>
            <w:tcBorders/>
            <w:shd w:fill="CCEEFF" w:val="clear"/>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8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b/>
              </w:rPr>
            </w:pPr>
            <w:r>
              <w:rPr>
                <w:b/>
              </w:rPr>
              <w:t>820,375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b/>
              </w:rPr>
            </w:pPr>
            <w:r>
              <w:rPr>
                <w:b/>
              </w:rPr>
              <w:t>750,611</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110,628</w:t>
            </w:r>
          </w:p>
        </w:tc>
        <w:tc>
          <w:tcPr>
            <w:tcW w:w="159" w:type="dxa"/>
            <w:tcBorders/>
            <w:vAlign w:val="bottom"/>
          </w:tcPr>
          <w:p>
            <w:pPr>
              <w:pStyle w:val="TableContents"/>
              <w:bidi w:val="0"/>
              <w:spacing w:before="0" w:after="283"/>
              <w:jc w:val="left"/>
              <w:rPr/>
            </w:pPr>
            <w:r>
              <w:rPr/>
              <w:t> </w:t>
            </w:r>
          </w:p>
        </w:tc>
      </w:tr>
      <w:tr>
        <w:trPr/>
        <w:tc>
          <w:tcPr>
            <w:tcW w:w="5842"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0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Burning Rock Biotech Limited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Condensed Statements of Cash Flows </w:t>
      </w:r>
    </w:p>
    <w:p>
      <w:pPr>
        <w:pStyle w:val="TextBody"/>
        <w:bidi w:val="0"/>
        <w:spacing w:before="12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6"/>
        <w:gridCol w:w="151"/>
        <w:gridCol w:w="61"/>
        <w:gridCol w:w="815"/>
        <w:gridCol w:w="155"/>
        <w:gridCol w:w="113"/>
        <w:gridCol w:w="60"/>
        <w:gridCol w:w="806"/>
        <w:gridCol w:w="155"/>
        <w:gridCol w:w="113"/>
        <w:gridCol w:w="70"/>
        <w:gridCol w:w="809"/>
        <w:gridCol w:w="161"/>
      </w:tblGrid>
      <w:tr>
        <w:trPr/>
        <w:tc>
          <w:tcPr>
            <w:tcW w:w="6736"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73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15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six months ended</w:t>
            </w:r>
          </w:p>
        </w:tc>
        <w:tc>
          <w:tcPr>
            <w:tcW w:w="161" w:type="dxa"/>
            <w:tcBorders/>
            <w:vAlign w:val="bottom"/>
          </w:tcPr>
          <w:p>
            <w:pPr>
              <w:pStyle w:val="TableContents"/>
              <w:bidi w:val="0"/>
              <w:spacing w:before="0" w:after="283"/>
              <w:jc w:val="left"/>
              <w:rPr/>
            </w:pPr>
            <w:r>
              <w:rPr/>
              <w:t> </w:t>
            </w:r>
          </w:p>
        </w:tc>
      </w:tr>
      <w:tr>
        <w:trPr/>
        <w:tc>
          <w:tcPr>
            <w:tcW w:w="673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161" w:type="dxa"/>
            <w:tcBorders/>
            <w:vAlign w:val="bottom"/>
          </w:tcPr>
          <w:p>
            <w:pPr>
              <w:pStyle w:val="TableContents"/>
              <w:bidi w:val="0"/>
              <w:spacing w:before="0" w:after="283"/>
              <w:jc w:val="left"/>
              <w:rPr/>
            </w:pPr>
            <w:r>
              <w:rPr/>
              <w:t> </w:t>
            </w:r>
          </w:p>
        </w:tc>
      </w:tr>
      <w:tr>
        <w:trPr/>
        <w:tc>
          <w:tcPr>
            <w:tcW w:w="6736"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79" w:type="dxa"/>
            <w:gridSpan w:val="2"/>
            <w:tcBorders/>
            <w:vAlign w:val="bottom"/>
          </w:tcPr>
          <w:p>
            <w:pPr>
              <w:pStyle w:val="TableContents"/>
              <w:bidi w:val="0"/>
              <w:spacing w:before="0" w:after="283"/>
              <w:jc w:val="center"/>
              <w:rPr>
                <w:b/>
              </w:rPr>
            </w:pPr>
            <w:r>
              <w:rPr>
                <w:b/>
              </w:rPr>
              <w:t>US$</w:t>
            </w:r>
          </w:p>
        </w:tc>
        <w:tc>
          <w:tcPr>
            <w:tcW w:w="161" w:type="dxa"/>
            <w:tcBorders/>
            <w:vAlign w:val="bottom"/>
          </w:tcPr>
          <w:p>
            <w:pPr>
              <w:pStyle w:val="TableContents"/>
              <w:bidi w:val="0"/>
              <w:spacing w:before="0" w:after="283"/>
              <w:jc w:val="left"/>
              <w:rPr/>
            </w:pPr>
            <w:r>
              <w:rPr/>
              <w:t> </w:t>
            </w:r>
          </w:p>
        </w:tc>
      </w:tr>
      <w:tr>
        <w:trPr/>
        <w:tc>
          <w:tcPr>
            <w:tcW w:w="6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(67,876</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(51,657</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(7,613</w:t>
            </w:r>
          </w:p>
        </w:tc>
        <w:tc>
          <w:tcPr>
            <w:tcW w:w="161" w:type="dxa"/>
            <w:tcBorders/>
            <w:shd w:fill="CCEEFF" w:val="clear"/>
            <w:vAlign w:val="bottom"/>
          </w:tcPr>
          <w:p>
            <w:pPr>
              <w:pStyle w:val="TableContents"/>
              <w:bidi w:val="0"/>
              <w:spacing w:before="0" w:after="283"/>
              <w:jc w:val="left"/>
              <w:rPr/>
            </w:pPr>
            <w:r>
              <w:rPr/>
              <w:t>) </w:t>
            </w:r>
          </w:p>
        </w:tc>
      </w:tr>
      <w:tr>
        <w:trPr/>
        <w:tc>
          <w:tcPr>
            <w:tcW w:w="6736"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(1,324</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(2,841</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(419</w:t>
            </w:r>
          </w:p>
        </w:tc>
        <w:tc>
          <w:tcPr>
            <w:tcW w:w="161" w:type="dxa"/>
            <w:tcBorders/>
            <w:vAlign w:val="bottom"/>
          </w:tcPr>
          <w:p>
            <w:pPr>
              <w:pStyle w:val="TableContents"/>
              <w:bidi w:val="0"/>
              <w:spacing w:before="0" w:after="283"/>
              <w:jc w:val="left"/>
              <w:rPr/>
            </w:pPr>
            <w:r>
              <w:rPr/>
              <w:t>) </w:t>
            </w:r>
          </w:p>
        </w:tc>
      </w:tr>
      <w:tr>
        <w:trPr/>
        <w:tc>
          <w:tcPr>
            <w:tcW w:w="67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generated from/(used in) financing activities</w:t>
            </w:r>
          </w:p>
        </w:tc>
        <w:tc>
          <w:tcPr>
            <w:tcW w:w="1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2,000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(15</w:t>
            </w:r>
          </w:p>
        </w:tc>
        <w:tc>
          <w:tcPr>
            <w:tcW w:w="161" w:type="dxa"/>
            <w:tcBorders/>
            <w:shd w:fill="CCEEFF" w:val="clear"/>
            <w:vAlign w:val="bottom"/>
          </w:tcPr>
          <w:p>
            <w:pPr>
              <w:pStyle w:val="TableContents"/>
              <w:bidi w:val="0"/>
              <w:spacing w:before="0" w:after="283"/>
              <w:jc w:val="left"/>
              <w:rPr/>
            </w:pPr>
            <w:r>
              <w:rPr/>
              <w:t>) </w:t>
            </w:r>
          </w:p>
        </w:tc>
      </w:tr>
      <w:tr>
        <w:trPr/>
        <w:tc>
          <w:tcPr>
            <w:tcW w:w="673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on cash, cash equivalents and restricted cash</w:t>
            </w:r>
          </w:p>
        </w:tc>
        <w:tc>
          <w:tcPr>
            <w:tcW w:w="1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(7,382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(1,088</w:t>
            </w:r>
          </w:p>
        </w:tc>
        <w:tc>
          <w:tcPr>
            <w:tcW w:w="161" w:type="dxa"/>
            <w:tcBorders/>
            <w:vAlign w:val="bottom"/>
          </w:tcPr>
          <w:p>
            <w:pPr>
              <w:pStyle w:val="TableContents"/>
              <w:bidi w:val="0"/>
              <w:spacing w:before="0" w:after="283"/>
              <w:jc w:val="left"/>
              <w:rPr/>
            </w:pPr>
            <w:r>
              <w:rPr/>
              <w:t>) </w:t>
            </w:r>
          </w:p>
        </w:tc>
      </w:tr>
      <w:tr>
        <w:trPr/>
        <w:tc>
          <w:tcPr>
            <w:tcW w:w="67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decrease in cash, cash equivalents and restricted cash</w:t>
            </w:r>
          </w:p>
        </w:tc>
        <w:tc>
          <w:tcPr>
            <w:tcW w:w="1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(67,138</w:t>
            </w:r>
          </w:p>
        </w:tc>
        <w:tc>
          <w:tcPr>
            <w:tcW w:w="155" w:type="dxa"/>
            <w:tcBorders/>
            <w:shd w:fill="CCEEFF" w:val="clear"/>
            <w:vAlign w:val="bottom"/>
          </w:tcPr>
          <w:p>
            <w:pPr>
              <w:pStyle w:val="TableContents"/>
              <w:bidi w:val="0"/>
              <w:spacing w:before="0" w:after="283"/>
              <w:jc w:val="left"/>
              <w:rPr>
                <w:b/>
              </w:rPr>
            </w:pPr>
            <w:r>
              <w:rPr>
                <w:b/>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b/>
              </w:rPr>
            </w:pPr>
            <w:r>
              <w:rPr>
                <w:b/>
              </w:rPr>
              <w:t>(61,980</w:t>
            </w:r>
          </w:p>
        </w:tc>
        <w:tc>
          <w:tcPr>
            <w:tcW w:w="155" w:type="dxa"/>
            <w:tcBorders/>
            <w:shd w:fill="CCEEFF" w:val="clear"/>
            <w:vAlign w:val="bottom"/>
          </w:tcPr>
          <w:p>
            <w:pPr>
              <w:pStyle w:val="TableContents"/>
              <w:bidi w:val="0"/>
              <w:spacing w:before="0" w:after="283"/>
              <w:jc w:val="left"/>
              <w:rPr>
                <w:b/>
              </w:rPr>
            </w:pPr>
            <w:r>
              <w:rPr>
                <w:b/>
              </w:rPr>
              <w:t>) </w:t>
            </w:r>
          </w:p>
        </w:tc>
        <w:tc>
          <w:tcPr>
            <w:tcW w:w="11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b/>
              </w:rPr>
            </w:pPr>
            <w:r>
              <w:rPr>
                <w:b/>
              </w:rPr>
              <w:t>(9,135</w:t>
            </w:r>
          </w:p>
        </w:tc>
        <w:tc>
          <w:tcPr>
            <w:tcW w:w="161" w:type="dxa"/>
            <w:tcBorders/>
            <w:shd w:fill="CCEEFF" w:val="clear"/>
            <w:vAlign w:val="bottom"/>
          </w:tcPr>
          <w:p>
            <w:pPr>
              <w:pStyle w:val="TableContents"/>
              <w:bidi w:val="0"/>
              <w:spacing w:before="0" w:after="283"/>
              <w:jc w:val="left"/>
              <w:rPr>
                <w:b/>
              </w:rPr>
            </w:pPr>
            <w:r>
              <w:rPr>
                <w:b/>
              </w:rPr>
              <w:t>) </w:t>
            </w:r>
          </w:p>
        </w:tc>
      </w:tr>
      <w:tr>
        <w:trPr/>
        <w:tc>
          <w:tcPr>
            <w:tcW w:w="6736"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beginning of period</w:t>
            </w:r>
          </w:p>
        </w:tc>
        <w:tc>
          <w:tcPr>
            <w:tcW w:w="15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522,162</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481,088</w:t>
            </w:r>
          </w:p>
        </w:tc>
        <w:tc>
          <w:tcPr>
            <w:tcW w:w="155"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70,904</w:t>
            </w:r>
          </w:p>
        </w:tc>
        <w:tc>
          <w:tcPr>
            <w:tcW w:w="161" w:type="dxa"/>
            <w:tcBorders/>
            <w:vAlign w:val="bottom"/>
          </w:tcPr>
          <w:p>
            <w:pPr>
              <w:pStyle w:val="TableContents"/>
              <w:bidi w:val="0"/>
              <w:spacing w:before="0" w:after="283"/>
              <w:jc w:val="left"/>
              <w:rPr/>
            </w:pPr>
            <w:r>
              <w:rPr/>
              <w:t> </w:t>
            </w:r>
          </w:p>
        </w:tc>
      </w:tr>
      <w:tr>
        <w:trPr/>
        <w:tc>
          <w:tcPr>
            <w:tcW w:w="67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the end of period</w:t>
            </w:r>
          </w:p>
        </w:tc>
        <w:tc>
          <w:tcPr>
            <w:tcW w:w="15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b/>
              </w:rPr>
            </w:pPr>
            <w:r>
              <w:rPr>
                <w:b/>
              </w:rPr>
              <w:t>455,024</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b/>
              </w:rPr>
            </w:pPr>
            <w:r>
              <w:rPr>
                <w:b/>
              </w:rPr>
              <w:t>419,108</w:t>
            </w:r>
          </w:p>
        </w:tc>
        <w:tc>
          <w:tcPr>
            <w:tcW w:w="155"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b/>
              </w:rPr>
            </w:pPr>
            <w:r>
              <w:rPr>
                <w:b/>
              </w:rPr>
              <w:t>61,769</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Burning Rock Biotech Limited </w:t>
      </w:r>
    </w:p>
    <w:p>
      <w:pPr>
        <w:pStyle w:val="TextBody"/>
        <w:bidi w:val="0"/>
        <w:spacing w:before="120" w:after="0"/>
        <w:jc w:val="center"/>
        <w:rPr>
          <w:rFonts w:ascii="Times New Roman" w:hAnsi="Times New Roman"/>
          <w:b/>
          <w:sz w:val="20"/>
        </w:rPr>
      </w:pPr>
      <w:r>
        <w:rPr>
          <w:rFonts w:ascii="Times New Roman" w:hAnsi="Times New Roman"/>
          <w:b/>
          <w:sz w:val="20"/>
        </w:rPr>
        <w:t xml:space="preserve">Reconciliations of GAAP and Non-GAAP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0"/>
        <w:gridCol w:w="171"/>
        <w:gridCol w:w="60"/>
        <w:gridCol w:w="801"/>
        <w:gridCol w:w="324"/>
        <w:gridCol w:w="113"/>
        <w:gridCol w:w="102"/>
        <w:gridCol w:w="1386"/>
        <w:gridCol w:w="324"/>
        <w:gridCol w:w="113"/>
        <w:gridCol w:w="98"/>
        <w:gridCol w:w="1332"/>
        <w:gridCol w:w="323"/>
        <w:gridCol w:w="113"/>
        <w:gridCol w:w="86"/>
        <w:gridCol w:w="996"/>
        <w:gridCol w:w="324"/>
        <w:gridCol w:w="113"/>
        <w:gridCol w:w="60"/>
        <w:gridCol w:w="801"/>
        <w:gridCol w:w="335"/>
      </w:tblGrid>
      <w:tr>
        <w:trPr/>
        <w:tc>
          <w:tcPr>
            <w:tcW w:w="2230"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23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46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r>
          </w:p>
        </w:tc>
        <w:tc>
          <w:tcPr>
            <w:tcW w:w="335" w:type="dxa"/>
            <w:tcBorders/>
            <w:vAlign w:val="bottom"/>
          </w:tcPr>
          <w:p>
            <w:pPr>
              <w:pStyle w:val="TableContents"/>
              <w:bidi w:val="0"/>
              <w:spacing w:before="0" w:after="283"/>
              <w:jc w:val="left"/>
              <w:rPr/>
            </w:pPr>
            <w:r>
              <w:rPr/>
              <w:t> </w:t>
            </w:r>
          </w:p>
        </w:tc>
      </w:tr>
      <w:tr>
        <w:trPr/>
        <w:tc>
          <w:tcPr>
            <w:tcW w:w="223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335" w:type="dxa"/>
            <w:tcBorders/>
            <w:vAlign w:val="bottom"/>
          </w:tcPr>
          <w:p>
            <w:pPr>
              <w:pStyle w:val="TableContents"/>
              <w:bidi w:val="0"/>
              <w:spacing w:before="0" w:after="283"/>
              <w:jc w:val="left"/>
              <w:rPr/>
            </w:pPr>
            <w:r>
              <w:rPr/>
              <w:t> </w:t>
            </w:r>
          </w:p>
        </w:tc>
      </w:tr>
      <w:tr>
        <w:trPr/>
        <w:tc>
          <w:tcPr>
            <w:tcW w:w="223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4873" w:type="dxa"/>
            <w:gridSpan w:val="10"/>
            <w:tcBorders/>
            <w:vAlign w:val="bottom"/>
          </w:tcPr>
          <w:p>
            <w:pPr>
              <w:pStyle w:val="TableContents"/>
              <w:bidi w:val="0"/>
              <w:spacing w:before="0" w:after="283"/>
              <w:jc w:val="center"/>
              <w:rPr>
                <w:b/>
              </w:rPr>
            </w:pPr>
            <w:r>
              <w:rPr>
                <w:b/>
              </w:rPr>
              <w:t>(RMB in thousands)</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386"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32"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2230" w:type="dxa"/>
            <w:tcBorders/>
          </w:tcPr>
          <w:p>
            <w:pPr>
              <w:pStyle w:val="TableContents"/>
              <w:bidi w:val="0"/>
              <w:spacing w:before="0" w:after="0"/>
              <w:jc w:val="left"/>
              <w:rPr>
                <w:rFonts w:ascii="Times New Roman" w:hAnsi="Times New Roman"/>
                <w:sz w:val="20"/>
              </w:rPr>
            </w:pPr>
            <w:r>
              <w:rPr>
                <w:rFonts w:ascii="Times New Roman" w:hAnsi="Times New Roman"/>
                <w:sz w:val="20"/>
              </w:rPr>
              <w:t>Central laboratory channel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35,937</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30,126</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39,322</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28,761</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31,510</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In-hospital channel</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46,490</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37,925</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38,388</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38,458</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51,760</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tcPr>
          <w:p>
            <w:pPr>
              <w:pStyle w:val="TableContents"/>
              <w:bidi w:val="0"/>
              <w:spacing w:before="0" w:after="0"/>
              <w:jc w:val="left"/>
              <w:rPr>
                <w:rFonts w:ascii="Times New Roman" w:hAnsi="Times New Roman"/>
                <w:sz w:val="20"/>
              </w:rPr>
            </w:pPr>
            <w:r>
              <w:rPr>
                <w:rFonts w:ascii="Times New Roman" w:hAnsi="Times New Roman"/>
                <w:sz w:val="20"/>
              </w:rPr>
              <w:t>Pharma research and development channel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25,676</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30,793</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20,856</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10,789</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14,543</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gross profit</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108,103</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b/>
              </w:rPr>
            </w:pPr>
            <w:r>
              <w:rPr>
                <w:b/>
              </w:rPr>
              <w:t>98,844</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b/>
              </w:rPr>
            </w:pPr>
            <w:r>
              <w:rPr>
                <w:b/>
              </w:rPr>
              <w:t>98,566</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78,008</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97,813</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tcPr>
          <w:p>
            <w:pPr>
              <w:pStyle w:val="TableContents"/>
              <w:bidi w:val="0"/>
              <w:spacing w:before="0" w:after="0"/>
              <w:jc w:val="left"/>
              <w:rPr>
                <w:rFonts w:ascii="Times New Roman" w:hAnsi="Times New Roman"/>
                <w:b/>
                <w:sz w:val="20"/>
              </w:rPr>
            </w:pPr>
            <w:r>
              <w:rPr>
                <w:rFonts w:ascii="Times New Roman" w:hAnsi="Times New Roman"/>
                <w:b/>
                <w:sz w:val="20"/>
              </w:rPr>
              <w:t>Add: depreciation and amortization: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386"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r>
      <w:tr>
        <w:trPr/>
        <w:tc>
          <w:tcPr>
            <w:tcW w:w="2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Central laboratory channel</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456</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231</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490</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412</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548</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tcPr>
          <w:p>
            <w:pPr>
              <w:pStyle w:val="TableContents"/>
              <w:bidi w:val="0"/>
              <w:spacing w:before="0" w:after="0"/>
              <w:jc w:val="left"/>
              <w:rPr>
                <w:rFonts w:ascii="Times New Roman" w:hAnsi="Times New Roman"/>
                <w:sz w:val="20"/>
              </w:rPr>
            </w:pPr>
            <w:r>
              <w:rPr>
                <w:rFonts w:ascii="Times New Roman" w:hAnsi="Times New Roman"/>
                <w:sz w:val="20"/>
              </w:rPr>
              <w:t>In-hospital channel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389</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372</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308</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228</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297</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Pharma research and development channel</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1,528</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1,491</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2,057</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1,885</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1,425</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depreciation and amortization included in cost of revenues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2,373</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b/>
              </w:rPr>
            </w:pPr>
            <w:r>
              <w:rPr>
                <w:b/>
              </w:rPr>
              <w:t>2,094</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b/>
              </w:rPr>
            </w:pPr>
            <w:r>
              <w:rPr>
                <w:b/>
              </w:rPr>
              <w:t>2,855</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2,525</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2,270</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Non-GAAP gross profit:</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386"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332"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35" w:type="dxa"/>
            <w:tcBorders/>
            <w:shd w:fill="CCEEFF" w:val="clear"/>
            <w:vAlign w:val="bottom"/>
          </w:tcPr>
          <w:p>
            <w:pPr>
              <w:pStyle w:val="TableContents"/>
              <w:bidi w:val="0"/>
              <w:spacing w:before="0" w:after="283"/>
              <w:jc w:val="left"/>
              <w:rPr>
                <w:sz w:val="4"/>
                <w:szCs w:val="4"/>
              </w:rPr>
            </w:pPr>
            <w:r>
              <w:rPr>
                <w:sz w:val="4"/>
                <w:szCs w:val="4"/>
              </w:rPr>
            </w:r>
          </w:p>
        </w:tc>
      </w:tr>
      <w:tr>
        <w:trPr/>
        <w:tc>
          <w:tcPr>
            <w:tcW w:w="2230" w:type="dxa"/>
            <w:tcBorders/>
          </w:tcPr>
          <w:p>
            <w:pPr>
              <w:pStyle w:val="TableContents"/>
              <w:bidi w:val="0"/>
              <w:spacing w:before="0" w:after="0"/>
              <w:jc w:val="left"/>
              <w:rPr>
                <w:rFonts w:ascii="Times New Roman" w:hAnsi="Times New Roman"/>
                <w:sz w:val="20"/>
              </w:rPr>
            </w:pPr>
            <w:r>
              <w:rPr>
                <w:rFonts w:ascii="Times New Roman" w:hAnsi="Times New Roman"/>
                <w:sz w:val="20"/>
              </w:rPr>
              <w:t>Central laboratory channel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36,393</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30,357</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39,812</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29,173</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32,058</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In-hospital channel</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46,879</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38,297</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38,696</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38,686</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52,057</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tcPr>
          <w:p>
            <w:pPr>
              <w:pStyle w:val="TableContents"/>
              <w:bidi w:val="0"/>
              <w:spacing w:before="0" w:after="0"/>
              <w:jc w:val="left"/>
              <w:rPr>
                <w:rFonts w:ascii="Times New Roman" w:hAnsi="Times New Roman"/>
                <w:sz w:val="20"/>
              </w:rPr>
            </w:pPr>
            <w:r>
              <w:rPr>
                <w:rFonts w:ascii="Times New Roman" w:hAnsi="Times New Roman"/>
                <w:sz w:val="20"/>
              </w:rPr>
              <w:t>Pharma research and development channel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27,204</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32,284</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22,913</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12,674</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15,968</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non-GAAP gross profit</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110,476</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b/>
              </w:rPr>
            </w:pPr>
            <w:r>
              <w:rPr>
                <w:b/>
              </w:rPr>
              <w:t>100,938</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b/>
              </w:rPr>
            </w:pPr>
            <w:r>
              <w:rPr>
                <w:b/>
              </w:rPr>
              <w:t>101,421</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b/>
              </w:rPr>
            </w:pPr>
            <w:r>
              <w:rPr>
                <w:b/>
              </w:rPr>
              <w:t>80,533</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100,083</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tcPr>
          <w:p>
            <w:pPr>
              <w:pStyle w:val="TableContents"/>
              <w:bidi w:val="0"/>
              <w:spacing w:before="0" w:after="0"/>
              <w:jc w:val="left"/>
              <w:rPr>
                <w:rFonts w:ascii="Times New Roman" w:hAnsi="Times New Roman"/>
                <w:b/>
                <w:sz w:val="20"/>
              </w:rPr>
            </w:pPr>
            <w:r>
              <w:rPr>
                <w:rFonts w:ascii="Times New Roman" w:hAnsi="Times New Roman"/>
                <w:b/>
                <w:sz w:val="20"/>
              </w:rPr>
              <w:t>Non-GAAP gross margin: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386"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3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r>
      <w:tr>
        <w:trPr/>
        <w:tc>
          <w:tcPr>
            <w:tcW w:w="2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Central laboratory channel</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89.1</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82.5</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90.4</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90.0</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87.2</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tcPr>
          <w:p>
            <w:pPr>
              <w:pStyle w:val="TableContents"/>
              <w:bidi w:val="0"/>
              <w:spacing w:before="0" w:after="0"/>
              <w:jc w:val="left"/>
              <w:rPr>
                <w:rFonts w:ascii="Times New Roman" w:hAnsi="Times New Roman"/>
                <w:sz w:val="20"/>
              </w:rPr>
            </w:pPr>
            <w:r>
              <w:rPr>
                <w:rFonts w:ascii="Times New Roman" w:hAnsi="Times New Roman"/>
                <w:sz w:val="20"/>
              </w:rPr>
              <w:t>In-hospital channel</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75.0</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pPr>
            <w:r>
              <w:rPr/>
              <w:t>72.5</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75.9</w:t>
            </w:r>
          </w:p>
        </w:tc>
        <w:tc>
          <w:tcPr>
            <w:tcW w:w="323"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73.3</w:t>
            </w:r>
          </w:p>
        </w:tc>
        <w:tc>
          <w:tcPr>
            <w:tcW w:w="32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77.5</w:t>
            </w:r>
          </w:p>
        </w:tc>
        <w:tc>
          <w:tcPr>
            <w:tcW w:w="335" w:type="dxa"/>
            <w:tcBorders/>
            <w:vAlign w:val="bottom"/>
          </w:tcPr>
          <w:p>
            <w:pPr>
              <w:pStyle w:val="TableContents"/>
              <w:bidi w:val="0"/>
              <w:spacing w:before="0" w:after="283"/>
              <w:jc w:val="left"/>
              <w:rPr/>
            </w:pPr>
            <w:r>
              <w:rPr/>
              <w:t>% </w:t>
            </w:r>
          </w:p>
        </w:tc>
      </w:tr>
      <w:tr>
        <w:trPr/>
        <w:tc>
          <w:tcPr>
            <w:tcW w:w="22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Pharma research and development channel</w:t>
            </w:r>
          </w:p>
        </w:tc>
        <w:tc>
          <w:tcPr>
            <w:tcW w:w="1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60.2</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6" w:type="dxa"/>
            <w:tcBorders/>
            <w:shd w:fill="CCEEFF" w:val="clear"/>
            <w:vAlign w:val="bottom"/>
          </w:tcPr>
          <w:p>
            <w:pPr>
              <w:pStyle w:val="TableContents"/>
              <w:bidi w:val="0"/>
              <w:spacing w:before="0" w:after="283"/>
              <w:jc w:val="right"/>
              <w:rPr/>
            </w:pPr>
            <w:r>
              <w:rPr/>
              <w:t>76.9</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73.2</w:t>
            </w:r>
          </w:p>
        </w:tc>
        <w:tc>
          <w:tcPr>
            <w:tcW w:w="323"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55.7</w:t>
            </w:r>
          </w:p>
        </w:tc>
        <w:tc>
          <w:tcPr>
            <w:tcW w:w="32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51.8</w:t>
            </w:r>
          </w:p>
        </w:tc>
        <w:tc>
          <w:tcPr>
            <w:tcW w:w="335" w:type="dxa"/>
            <w:tcBorders/>
            <w:shd w:fill="CCEEFF" w:val="clear"/>
            <w:vAlign w:val="bottom"/>
          </w:tcPr>
          <w:p>
            <w:pPr>
              <w:pStyle w:val="TableContents"/>
              <w:bidi w:val="0"/>
              <w:spacing w:before="0" w:after="283"/>
              <w:jc w:val="left"/>
              <w:rPr/>
            </w:pPr>
            <w:r>
              <w:rPr/>
              <w:t>% </w:t>
            </w:r>
          </w:p>
        </w:tc>
      </w:tr>
      <w:tr>
        <w:trPr/>
        <w:tc>
          <w:tcPr>
            <w:tcW w:w="2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non-GAAP gross margin</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74.4</w:t>
            </w:r>
          </w:p>
        </w:tc>
        <w:tc>
          <w:tcPr>
            <w:tcW w:w="324" w:type="dxa"/>
            <w:tcBorders/>
            <w:vAlign w:val="bottom"/>
          </w:tcPr>
          <w:p>
            <w:pPr>
              <w:pStyle w:val="TableContents"/>
              <w:bidi w:val="0"/>
              <w:spacing w:before="0" w:after="283"/>
              <w:jc w:val="left"/>
              <w:rPr>
                <w:b/>
              </w:rPr>
            </w:pPr>
            <w:r>
              <w:rPr>
                <w:b/>
              </w:rPr>
              <w:t>% </w:t>
            </w:r>
          </w:p>
        </w:tc>
        <w:tc>
          <w:tcPr>
            <w:tcW w:w="113"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6" w:type="dxa"/>
            <w:tcBorders/>
            <w:vAlign w:val="bottom"/>
          </w:tcPr>
          <w:p>
            <w:pPr>
              <w:pStyle w:val="TableContents"/>
              <w:bidi w:val="0"/>
              <w:spacing w:before="0" w:after="283"/>
              <w:jc w:val="right"/>
              <w:rPr>
                <w:b/>
              </w:rPr>
            </w:pPr>
            <w:r>
              <w:rPr>
                <w:b/>
              </w:rPr>
              <w:t>76.7</w:t>
            </w:r>
          </w:p>
        </w:tc>
        <w:tc>
          <w:tcPr>
            <w:tcW w:w="324" w:type="dxa"/>
            <w:tcBorders/>
            <w:vAlign w:val="bottom"/>
          </w:tcPr>
          <w:p>
            <w:pPr>
              <w:pStyle w:val="TableContents"/>
              <w:bidi w:val="0"/>
              <w:spacing w:before="0" w:after="283"/>
              <w:jc w:val="left"/>
              <w:rPr>
                <w:b/>
              </w:rPr>
            </w:pPr>
            <w:r>
              <w:rPr>
                <w:b/>
              </w:rPr>
              <w:t>% </w:t>
            </w:r>
          </w:p>
        </w:tc>
        <w:tc>
          <w:tcPr>
            <w:tcW w:w="113"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b/>
              </w:rPr>
            </w:pPr>
            <w:r>
              <w:rPr>
                <w:b/>
              </w:rPr>
              <w:t>80.3</w:t>
            </w:r>
          </w:p>
        </w:tc>
        <w:tc>
          <w:tcPr>
            <w:tcW w:w="323" w:type="dxa"/>
            <w:tcBorders/>
            <w:vAlign w:val="bottom"/>
          </w:tcPr>
          <w:p>
            <w:pPr>
              <w:pStyle w:val="TableContents"/>
              <w:bidi w:val="0"/>
              <w:spacing w:before="0" w:after="283"/>
              <w:jc w:val="left"/>
              <w:rPr>
                <w:b/>
              </w:rPr>
            </w:pPr>
            <w:r>
              <w:rPr>
                <w:b/>
              </w:rPr>
              <w:t>% </w:t>
            </w:r>
          </w:p>
        </w:tc>
        <w:tc>
          <w:tcPr>
            <w:tcW w:w="113"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b/>
              </w:rPr>
            </w:pPr>
            <w:r>
              <w:rPr>
                <w:b/>
              </w:rPr>
              <w:t>74.6</w:t>
            </w:r>
          </w:p>
        </w:tc>
        <w:tc>
          <w:tcPr>
            <w:tcW w:w="324" w:type="dxa"/>
            <w:tcBorders/>
            <w:vAlign w:val="bottom"/>
          </w:tcPr>
          <w:p>
            <w:pPr>
              <w:pStyle w:val="TableContents"/>
              <w:bidi w:val="0"/>
              <w:spacing w:before="0" w:after="283"/>
              <w:jc w:val="left"/>
              <w:rPr>
                <w:b/>
              </w:rPr>
            </w:pPr>
            <w:r>
              <w:rPr>
                <w:b/>
              </w:rPr>
              <w:t>% </w:t>
            </w:r>
          </w:p>
        </w:tc>
        <w:tc>
          <w:tcPr>
            <w:tcW w:w="1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74.3</w:t>
            </w:r>
          </w:p>
        </w:tc>
        <w:tc>
          <w:tcPr>
            <w:tcW w:w="335"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3134</Words>
  <Characters>17147</Characters>
  <CharactersWithSpaces>21699</CharactersWithSpaces>
  <Paragraphs>2678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