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734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734175"/>
                    </a:xfrm>
                    <a:prstGeom prst="rect">
                      <a:avLst/>
                    </a:prstGeom>
                    <a:noFill/>
                  </pic:spPr>
                </pic:pic>
              </a:graphicData>
            </a:graphic>
          </wp:anchor>
        </w:drawing>
      </w:r>
    </w:p>
    <w:p>
      <w:pPr>
        <w:sectPr>
          <w:pgSz w:w="11900" w:h="16957"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Hu Xiaozhi</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03/17/2026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Burning Rock Biotech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BNR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957" w:orient="portrait"/>
          <w:cols w:equalWidth="0" w:num="3">
            <w:col w:w="2960" w:space="400"/>
            <w:col w:w="136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37"/>
        <w:spacing w:after="0" w:line="275" w:lineRule="auto"/>
        <w:rPr>
          <w:sz w:val="20"/>
          <w:szCs w:val="20"/>
          <w:color w:val="auto"/>
        </w:rPr>
      </w:pPr>
      <w:r>
        <w:rPr>
          <w:rFonts w:ascii="Times New Roman" w:cs="Times New Roman" w:eastAsia="Times New Roman" w:hAnsi="Times New Roman"/>
          <w:sz w:val="20"/>
          <w:szCs w:val="20"/>
          <w:color w:val="0000FF"/>
        </w:rPr>
        <w:t>NO. 5, XINGDAO RING ROAD NORTH</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GUANGZHOU F4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510005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23"/>
        <w:spacing w:after="0"/>
        <w:rPr>
          <w:sz w:val="20"/>
          <w:szCs w:val="20"/>
          <w:color w:val="auto"/>
        </w:rPr>
      </w:pPr>
      <w:r>
        <w:rPr>
          <w:rFonts w:ascii="Times New Roman" w:cs="Times New Roman" w:eastAsia="Times New Roman" w:hAnsi="Times New Roman"/>
          <w:sz w:val="20"/>
          <w:szCs w:val="20"/>
          <w:color w:val="0000FF"/>
        </w:rPr>
        <w:t>Senior Director in Finance</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957"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04/30/2032</w:t>
            </w:r>
          </w:p>
        </w:tc>
        <w:tc>
          <w:tcPr>
            <w:tcW w:w="17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7"/>
              </w:rPr>
              <w:t>3,097</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0.0002</w:t>
            </w:r>
            <w:r>
              <w:rPr>
                <w:rFonts w:ascii="Times New Roman" w:cs="Times New Roman" w:eastAsia="Times New Roman" w:hAnsi="Times New Roman"/>
                <w:sz w:val="25"/>
                <w:szCs w:val="25"/>
                <w:color w:val="008000"/>
                <w:w w:val="89"/>
                <w:vertAlign w:val="superscript"/>
              </w:rPr>
              <w:t>(11)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09/26/2032</w:t>
            </w:r>
          </w:p>
        </w:tc>
        <w:tc>
          <w:tcPr>
            <w:tcW w:w="17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7"/>
              </w:rPr>
              <w:t>7,850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5"/>
              </w:rPr>
              <w:t>3.33</w:t>
            </w:r>
            <w:r>
              <w:rPr>
                <w:rFonts w:ascii="Times New Roman" w:cs="Times New Roman" w:eastAsia="Times New Roman" w:hAnsi="Times New Roman"/>
                <w:sz w:val="25"/>
                <w:szCs w:val="25"/>
                <w:color w:val="008000"/>
                <w:w w:val="85"/>
                <w:vertAlign w:val="superscript"/>
              </w:rPr>
              <w:t>(11)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09/26/2032</w:t>
            </w:r>
          </w:p>
        </w:tc>
        <w:tc>
          <w:tcPr>
            <w:tcW w:w="17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8"/>
              </w:rPr>
              <w:t>11,776</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5"/>
              </w:rPr>
              <w:t>3.33</w:t>
            </w:r>
            <w:r>
              <w:rPr>
                <w:rFonts w:ascii="Times New Roman" w:cs="Times New Roman" w:eastAsia="Times New Roman" w:hAnsi="Times New Roman"/>
                <w:sz w:val="25"/>
                <w:szCs w:val="25"/>
                <w:color w:val="008000"/>
                <w:w w:val="85"/>
                <w:vertAlign w:val="superscript"/>
              </w:rPr>
              <w:t>(11)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09/26/2032</w:t>
            </w:r>
          </w:p>
        </w:tc>
        <w:tc>
          <w:tcPr>
            <w:tcW w:w="17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7"/>
              </w:rPr>
              <w:t>7,850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5"/>
              </w:rPr>
              <w:t>3.33</w:t>
            </w:r>
            <w:r>
              <w:rPr>
                <w:rFonts w:ascii="Times New Roman" w:cs="Times New Roman" w:eastAsia="Times New Roman" w:hAnsi="Times New Roman"/>
                <w:sz w:val="25"/>
                <w:szCs w:val="25"/>
                <w:color w:val="008000"/>
                <w:w w:val="85"/>
                <w:vertAlign w:val="superscript"/>
              </w:rPr>
              <w:t>(11)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09/26/2032</w:t>
            </w:r>
          </w:p>
        </w:tc>
        <w:tc>
          <w:tcPr>
            <w:tcW w:w="17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8"/>
              </w:rPr>
              <w:t>11,776</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5"/>
              </w:rPr>
              <w:t>3.33</w:t>
            </w:r>
            <w:r>
              <w:rPr>
                <w:rFonts w:ascii="Times New Roman" w:cs="Times New Roman" w:eastAsia="Times New Roman" w:hAnsi="Times New Roman"/>
                <w:sz w:val="25"/>
                <w:szCs w:val="25"/>
                <w:color w:val="008000"/>
                <w:w w:val="85"/>
                <w:vertAlign w:val="superscript"/>
              </w:rPr>
              <w:t>(11)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09/26/2032</w:t>
            </w:r>
          </w:p>
        </w:tc>
        <w:tc>
          <w:tcPr>
            <w:tcW w:w="17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7"/>
              </w:rPr>
              <w:t>7,850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5"/>
              </w:rPr>
              <w:t>3.33</w:t>
            </w:r>
            <w:r>
              <w:rPr>
                <w:rFonts w:ascii="Times New Roman" w:cs="Times New Roman" w:eastAsia="Times New Roman" w:hAnsi="Times New Roman"/>
                <w:sz w:val="25"/>
                <w:szCs w:val="25"/>
                <w:color w:val="008000"/>
                <w:w w:val="85"/>
                <w:vertAlign w:val="superscript"/>
              </w:rPr>
              <w:t>(11)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09/26/2032</w:t>
            </w:r>
          </w:p>
        </w:tc>
        <w:tc>
          <w:tcPr>
            <w:tcW w:w="17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8"/>
              </w:rPr>
              <w:t>11,776</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5"/>
              </w:rPr>
              <w:t>3.33</w:t>
            </w:r>
            <w:r>
              <w:rPr>
                <w:rFonts w:ascii="Times New Roman" w:cs="Times New Roman" w:eastAsia="Times New Roman" w:hAnsi="Times New Roman"/>
                <w:sz w:val="25"/>
                <w:szCs w:val="25"/>
                <w:color w:val="008000"/>
                <w:w w:val="85"/>
                <w:vertAlign w:val="superscript"/>
              </w:rPr>
              <w:t>(11)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04/30/2033</w:t>
            </w:r>
          </w:p>
        </w:tc>
        <w:tc>
          <w:tcPr>
            <w:tcW w:w="17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8"/>
              </w:rPr>
              <w:t>29,239</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0.0002</w:t>
            </w:r>
            <w:r>
              <w:rPr>
                <w:rFonts w:ascii="Times New Roman" w:cs="Times New Roman" w:eastAsia="Times New Roman" w:hAnsi="Times New Roman"/>
                <w:sz w:val="25"/>
                <w:szCs w:val="25"/>
                <w:color w:val="008000"/>
                <w:w w:val="89"/>
                <w:vertAlign w:val="superscript"/>
              </w:rPr>
              <w:t>(11)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(9)</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04/30/2034</w:t>
            </w:r>
          </w:p>
        </w:tc>
        <w:tc>
          <w:tcPr>
            <w:tcW w:w="17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8"/>
              </w:rPr>
              <w:t>19,000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0.0002</w:t>
            </w:r>
            <w:r>
              <w:rPr>
                <w:rFonts w:ascii="Times New Roman" w:cs="Times New Roman" w:eastAsia="Times New Roman" w:hAnsi="Times New Roman"/>
                <w:sz w:val="25"/>
                <w:szCs w:val="25"/>
                <w:color w:val="008000"/>
                <w:w w:val="89"/>
                <w:vertAlign w:val="superscript"/>
              </w:rPr>
              <w:t>(11)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(10)</w:t>
            </w: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5"/>
                <w:szCs w:val="15"/>
                <w:color w:val="0000FF"/>
              </w:rPr>
              <w:t>04/30/2035</w:t>
            </w:r>
          </w:p>
        </w:tc>
        <w:tc>
          <w:tcPr>
            <w:tcW w:w="17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8"/>
              </w:rPr>
              <w:t>36,000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0.0002</w:t>
            </w:r>
            <w:r>
              <w:rPr>
                <w:rFonts w:ascii="Times New Roman" w:cs="Times New Roman" w:eastAsia="Times New Roman" w:hAnsi="Times New Roman"/>
                <w:sz w:val="25"/>
                <w:szCs w:val="25"/>
                <w:color w:val="008000"/>
                <w:w w:val="89"/>
                <w:vertAlign w:val="superscript"/>
              </w:rPr>
              <w:t>(11)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4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April 30, 2022, the Reporting Person was granted 12,389 share options, with 50%, 25% and 25% of the granted share options vesting on January 1, 2024, January 1, 2025 and January 1, 2026, respectively, subject to: (a) the Reporting Person's continued employment, and (b) the annual performance rating of the Reporting Person reaching at least 3.3 for each year from 2022 to 2025.</w:t>
      </w:r>
    </w:p>
    <w:p>
      <w:pPr>
        <w:spacing w:after="0" w:line="29" w:lineRule="exact"/>
        <w:rPr>
          <w:rFonts w:ascii="Times New Roman" w:cs="Times New Roman" w:eastAsia="Times New Roman" w:hAnsi="Times New Roman"/>
          <w:sz w:val="15"/>
          <w:szCs w:val="15"/>
          <w:color w:val="008000"/>
        </w:rPr>
      </w:pPr>
    </w:p>
    <w:p>
      <w:pPr>
        <w:ind w:left="40" w:right="1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7,850 share options, which will vest once (a) the valuation of the Issuer (based on the 60-day average closing share price of its publicly traded shares) reaches US$2 billion by the fifth anniversary of the date of grant (the "valuation target"), and (b) the Reporting Person remains employed by the Issuer at the time when the valuation target is achieved.</w:t>
      </w:r>
    </w:p>
    <w:p>
      <w:pPr>
        <w:spacing w:after="0" w:line="29" w:lineRule="exact"/>
        <w:rPr>
          <w:rFonts w:ascii="Times New Roman" w:cs="Times New Roman" w:eastAsia="Times New Roman" w:hAnsi="Times New Roman"/>
          <w:sz w:val="15"/>
          <w:szCs w:val="15"/>
          <w:color w:val="008000"/>
        </w:rPr>
      </w:pPr>
    </w:p>
    <w:p>
      <w:pPr>
        <w:ind w:left="40" w:right="2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11,776 share options, which will vest once (a) the valuation of the Issuer (based on the 60-day average closing share price of its publicly traded shares) reaches US$2 billion by the fifth anniversary of the date of grant (the "valuation target"), (b) the Reporting Person remains employed by the Issuer at the time when the valuation target is achieved, and (c) the Reporting Person has been employed by the Issuer for five years from the date of grant.</w:t>
      </w:r>
    </w:p>
    <w:p>
      <w:pPr>
        <w:spacing w:after="0" w:line="29" w:lineRule="exact"/>
        <w:rPr>
          <w:rFonts w:ascii="Times New Roman" w:cs="Times New Roman" w:eastAsia="Times New Roman" w:hAnsi="Times New Roman"/>
          <w:sz w:val="15"/>
          <w:szCs w:val="15"/>
          <w:color w:val="008000"/>
        </w:rPr>
      </w:pPr>
    </w:p>
    <w:p>
      <w:pPr>
        <w:ind w:left="40" w:right="18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7,850 share options, which will vest once (a) the valuation of the Issuer (based on the 60-day average closing share price of its publicly traded shares) reaches US$4 billion by the seventh anniversary of the date of grant (the "valuation target"), and (b) the Reporting Person remains employed by the Issuer at the time when the valuation target is achieved.</w:t>
      </w:r>
    </w:p>
    <w:p>
      <w:pPr>
        <w:spacing w:after="0" w:line="29" w:lineRule="exact"/>
        <w:rPr>
          <w:rFonts w:ascii="Times New Roman" w:cs="Times New Roman" w:eastAsia="Times New Roman" w:hAnsi="Times New Roman"/>
          <w:sz w:val="15"/>
          <w:szCs w:val="15"/>
          <w:color w:val="008000"/>
        </w:rPr>
      </w:pPr>
    </w:p>
    <w:p>
      <w:pPr>
        <w:jc w:val="both"/>
        <w:ind w:left="40" w:right="2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11,776 share options, which will vest once (a) the valuation of the Issuer (based on the 60-day average closing share price of its publicly traded shares) reaches US$4 billion by the seventh anniversary of the date of grant (the "valuation target"), (b) the Reporting Person remains employed by the Issuer at the time when the valuation target is achieved, and (c) the Reporting Person has been employed by the Issuer for five years from the date of grant.</w:t>
      </w:r>
    </w:p>
    <w:p>
      <w:pPr>
        <w:spacing w:after="0" w:line="29" w:lineRule="exact"/>
        <w:rPr>
          <w:rFonts w:ascii="Times New Roman" w:cs="Times New Roman" w:eastAsia="Times New Roman" w:hAnsi="Times New Roman"/>
          <w:sz w:val="15"/>
          <w:szCs w:val="15"/>
          <w:color w:val="008000"/>
        </w:rPr>
      </w:pPr>
    </w:p>
    <w:p>
      <w:pPr>
        <w:jc w:val="both"/>
        <w:ind w:left="40" w:right="240" w:firstLine="5"/>
        <w:spacing w:after="0" w:line="294" w:lineRule="auto"/>
        <w:tabs>
          <w:tab w:leader="none" w:pos="19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September 26, 2022, the Reporting Person was granted 7,850 share options, which will vest once (a) the valuation of the Issuer (based on the 60-day average closing share price of its publicly traded shares) reaches US$10 billion by the seventh anniversary of the date of grants (the "valuation target"), and (b) the Reporting Person remains employed</w:t>
      </w:r>
    </w:p>
    <w:p>
      <w:pPr>
        <w:sectPr>
          <w:pgSz w:w="11900" w:h="16957"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008000"/>
        </w:rPr>
        <w:t>by the Issuer at the time when the valuation target is achieved.</w:t>
      </w:r>
    </w:p>
    <w:p>
      <w:pPr>
        <w:spacing w:after="0" w:line="53" w:lineRule="exact"/>
        <w:rPr>
          <w:sz w:val="20"/>
          <w:szCs w:val="20"/>
          <w:color w:val="auto"/>
        </w:rPr>
      </w:pPr>
    </w:p>
    <w:p>
      <w:pPr>
        <w:ind w:right="40" w:firstLine="5"/>
        <w:spacing w:after="0" w:line="244"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11,776 share options, which will vest once (a) the valuation of the Issuer (based on the 60-day average closing share price of its publicly traded shares) reaches US$10 billion by the seventh anniversary of the date of grants (the "valuation target"), (b) the Reporting Person remains employed by the Issuer at the time when the valuation target is achieved, and (c) the Reporting Person has been employed by the Issuer for five years from the date of grant.</w:t>
      </w:r>
    </w:p>
    <w:p>
      <w:pPr>
        <w:spacing w:after="0" w:line="29" w:lineRule="exact"/>
        <w:rPr>
          <w:rFonts w:ascii="Times New Roman" w:cs="Times New Roman" w:eastAsia="Times New Roman" w:hAnsi="Times New Roman"/>
          <w:sz w:val="15"/>
          <w:szCs w:val="15"/>
          <w:color w:val="008000"/>
        </w:rPr>
      </w:pPr>
    </w:p>
    <w:p>
      <w:pPr>
        <w:ind w:firstLine="5"/>
        <w:spacing w:after="0" w:line="244"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April 30, 2023, the Reporting Person was granted 58,477 share options, with 50%, 25% and 25% of the granted share options vesting on January 1, 2025, January 1, 2026 and January 1, 2027, respectively, subject to: (a) the Reporting Person's continued employment, and (b) the annual performance rating of the Reporting Person reaching at least 3.3 for each year from 2023 to 2026.</w:t>
      </w:r>
    </w:p>
    <w:p>
      <w:pPr>
        <w:spacing w:after="0" w:line="29" w:lineRule="exact"/>
        <w:rPr>
          <w:rFonts w:ascii="Times New Roman" w:cs="Times New Roman" w:eastAsia="Times New Roman" w:hAnsi="Times New Roman"/>
          <w:sz w:val="15"/>
          <w:szCs w:val="15"/>
          <w:color w:val="008000"/>
        </w:rPr>
      </w:pPr>
    </w:p>
    <w:p>
      <w:pPr>
        <w:ind w:firstLine="5"/>
        <w:spacing w:after="0" w:line="244"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April 30, 2024, the Reporting Person was granted 19,000 share options, with 50%, 25% and 25% of the granted share options vesting on January 1, 2026, January 1, 2027 and January 1, 2028, respectively, subject to: (a) the Reporting Person's continued employment, and (b) the annual performance rating of the Reporting Person reaching at least 3.3 for the year of 2024.</w:t>
      </w:r>
    </w:p>
    <w:p>
      <w:pPr>
        <w:spacing w:after="0" w:line="29" w:lineRule="exact"/>
        <w:rPr>
          <w:rFonts w:ascii="Times New Roman" w:cs="Times New Roman" w:eastAsia="Times New Roman" w:hAnsi="Times New Roman"/>
          <w:sz w:val="15"/>
          <w:szCs w:val="15"/>
          <w:color w:val="008000"/>
        </w:rPr>
      </w:pPr>
    </w:p>
    <w:p>
      <w:pPr>
        <w:ind w:right="100" w:firstLine="5"/>
        <w:spacing w:after="0" w:line="244" w:lineRule="auto"/>
        <w:tabs>
          <w:tab w:leader="none" w:pos="225"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April 30, 2025, the Reporting Person was granted 36,000 share options, with 50%, 25% and 25% of the granted share options vesting on January 1, 2027, January 1, 2028 and January 1, 2029, respectively, subject to: (a) the Reporting Person's continued employment, and (b) the annual performance rating of the Reporting Person reaching at least 3.3 for the year of 2025.</w:t>
      </w:r>
    </w:p>
    <w:p>
      <w:pPr>
        <w:spacing w:after="0" w:line="29" w:lineRule="exact"/>
        <w:rPr>
          <w:rFonts w:ascii="Times New Roman" w:cs="Times New Roman" w:eastAsia="Times New Roman" w:hAnsi="Times New Roman"/>
          <w:sz w:val="15"/>
          <w:szCs w:val="15"/>
          <w:color w:val="008000"/>
        </w:rPr>
      </w:pPr>
    </w:p>
    <w:p>
      <w:pPr>
        <w:ind w:left="220" w:hanging="215"/>
        <w:spacing w:after="0"/>
        <w:tabs>
          <w:tab w:leader="none" w:pos="22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option represents the right to receive, upon exercise, one ordinary share.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Yuheng Huang,</w:t>
            </w:r>
          </w:p>
        </w:tc>
        <w:tc>
          <w:tcPr>
            <w:tcW w:w="74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03/17/2026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Xiaozhi Hu</w:t>
            </w:r>
          </w:p>
        </w:tc>
        <w:tc>
          <w:tcPr>
            <w:tcW w:w="680" w:type="dxa"/>
            <w:vAlign w:val="bottom"/>
            <w:tcBorders>
              <w:top w:val="single" w:sz="8" w:color="auto"/>
            </w:tcBorders>
            <w:gridSpan w:val="2"/>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20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20" w:top="125" w:right="519" w:bottom="1440" w:gutter="0" w:footer="0" w:header="0"/>
        </w:sectPr>
      </w:pPr>
    </w:p>
    <w:bookmarkStart w:id="2" w:name="page3"/>
    <w:bookmarkEnd w:id="2"/>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99" w:lineRule="exact"/>
        <w:rPr>
          <w:sz w:val="20"/>
          <w:szCs w:val="20"/>
          <w:color w:val="auto"/>
        </w:rPr>
      </w:pPr>
    </w:p>
    <w:p>
      <w:pPr>
        <w:ind w:left="80" w:right="20" w:firstLine="923"/>
        <w:spacing w:after="0" w:line="249"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Yanli Xu, Dongyue Zheng, Yuheng Huang and Kaiyan Chen acting singly, and with full power of substitution or revocation,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98" w:lineRule="exact"/>
        <w:rPr>
          <w:sz w:val="20"/>
          <w:szCs w:val="20"/>
          <w:color w:val="auto"/>
        </w:rPr>
      </w:pPr>
    </w:p>
    <w:p>
      <w:pPr>
        <w:jc w:val="both"/>
        <w:ind w:left="800" w:right="20" w:hanging="345"/>
        <w:spacing w:after="0" w:line="247" w:lineRule="auto"/>
        <w:tabs>
          <w:tab w:leader="none" w:pos="80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and submit to the SEC, and/or any national securities exchange on which Burning Rock Biotech Limited (the “Company”) securities are listed, any and all reports (including any amendments thereto) the undersigned is required to file with the SEC under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213" w:lineRule="exact"/>
        <w:rPr>
          <w:rFonts w:ascii="Times New Roman" w:cs="Times New Roman" w:eastAsia="Times New Roman" w:hAnsi="Times New Roman"/>
          <w:sz w:val="21"/>
          <w:szCs w:val="21"/>
          <w:color w:val="auto"/>
        </w:rPr>
      </w:pPr>
    </w:p>
    <w:p>
      <w:pPr>
        <w:jc w:val="both"/>
        <w:ind w:left="800" w:right="20" w:hanging="345"/>
        <w:spacing w:after="0" w:line="249" w:lineRule="auto"/>
        <w:tabs>
          <w:tab w:leader="none" w:pos="80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 ct.</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254" w:lineRule="exact"/>
        <w:rPr>
          <w:sz w:val="20"/>
          <w:szCs w:val="20"/>
          <w:color w:val="auto"/>
        </w:rPr>
      </w:pPr>
    </w:p>
    <w:p>
      <w:pPr>
        <w:ind w:left="800" w:right="20" w:hanging="345"/>
        <w:spacing w:after="0" w:line="272" w:lineRule="auto"/>
        <w:tabs>
          <w:tab w:leader="none" w:pos="8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187" w:lineRule="exact"/>
        <w:rPr>
          <w:rFonts w:ascii="Times New Roman" w:cs="Times New Roman" w:eastAsia="Times New Roman" w:hAnsi="Times New Roman"/>
          <w:sz w:val="21"/>
          <w:szCs w:val="21"/>
          <w:color w:val="auto"/>
        </w:rPr>
      </w:pPr>
    </w:p>
    <w:p>
      <w:pPr>
        <w:jc w:val="both"/>
        <w:ind w:left="800" w:right="20" w:hanging="345"/>
        <w:spacing w:after="0" w:line="255" w:lineRule="auto"/>
        <w:tabs>
          <w:tab w:leader="none" w:pos="8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0" w:lineRule="exact"/>
        <w:rPr>
          <w:rFonts w:ascii="Times New Roman" w:cs="Times New Roman" w:eastAsia="Times New Roman" w:hAnsi="Times New Roman"/>
          <w:sz w:val="21"/>
          <w:szCs w:val="21"/>
          <w:color w:val="auto"/>
        </w:rPr>
      </w:pPr>
    </w:p>
    <w:p>
      <w:pPr>
        <w:jc w:val="both"/>
        <w:ind w:left="800" w:right="20" w:hanging="345"/>
        <w:spacing w:after="0" w:line="249" w:lineRule="auto"/>
        <w:tabs>
          <w:tab w:leader="none" w:pos="8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1"/>
          <w:szCs w:val="21"/>
          <w:color w:val="auto"/>
        </w:rPr>
      </w:pPr>
    </w:p>
    <w:p>
      <w:pPr>
        <w:jc w:val="both"/>
        <w:ind w:left="800" w:right="20" w:hanging="345"/>
        <w:spacing w:after="0" w:line="255" w:lineRule="auto"/>
        <w:tabs>
          <w:tab w:leader="none" w:pos="8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66" w:lineRule="exact"/>
        <w:rPr>
          <w:sz w:val="20"/>
          <w:szCs w:val="20"/>
          <w:color w:val="auto"/>
        </w:rPr>
      </w:pPr>
    </w:p>
    <w:p>
      <w:pPr>
        <w:jc w:val="both"/>
        <w:ind w:left="80" w:right="40" w:firstLine="973"/>
        <w:spacing w:after="0" w:line="247" w:lineRule="auto"/>
        <w:rPr>
          <w:sz w:val="20"/>
          <w:szCs w:val="20"/>
          <w:color w:val="auto"/>
        </w:rPr>
      </w:pPr>
      <w:r>
        <w:rPr>
          <w:rFonts w:ascii="Times New Roman" w:cs="Times New Roman" w:eastAsia="Times New Roman" w:hAnsi="Times New Roman"/>
          <w:sz w:val="21"/>
          <w:szCs w:val="21"/>
          <w:color w:val="auto"/>
        </w:rPr>
        <w:t>The undersigned hereby grants to the Attorney-in-Fact full power and authority to do and perform any and every act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73" w:lineRule="exact"/>
        <w:rPr>
          <w:sz w:val="20"/>
          <w:szCs w:val="20"/>
          <w:color w:val="auto"/>
        </w:rPr>
      </w:pPr>
    </w:p>
    <w:p>
      <w:pPr>
        <w:ind w:left="80" w:firstLine="923"/>
        <w:spacing w:after="0" w:line="249"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554990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800"/>
          </w:cols>
          <w:pgMar w:left="520" w:top="1440" w:right="579" w:bottom="1440" w:gutter="0" w:footer="0" w:header="0"/>
        </w:sectPr>
      </w:pPr>
    </w:p>
    <w:bookmarkStart w:id="3" w:name="page4"/>
    <w:bookmarkEnd w:id="3"/>
    <w:p>
      <w:pPr>
        <w:spacing w:after="0" w:line="305"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March 17,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Xiaozhi Hu</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Signature: /s/ Xiaozhi Hu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564515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7"/>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4630" TargetMode="External"/><Relationship Id="rId11" Type="http://schemas.openxmlformats.org/officeDocument/2006/relationships/hyperlink" Target="http://www.sec.gov/cgi-bin/browse-edgar?action=getcompany&amp;CIK=00017922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2026-03-17T08:52:36Z</dcterms:created>
  <dcterms:modified xsi:type="dcterms:W3CDTF">2026-03-17T08:52:36Z</dcterms:modified>
</cp:coreProperties>
</file>