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6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619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DENG FENG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UNIT 3203, CHINA CENTRAL PLACE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 79 JIANGUO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BEIJING</w:t>
      </w:r>
      <w:r>
        <w:rPr>
          <w:sz w:val="20"/>
          <w:szCs w:val="20"/>
          <w:color w:val="auto"/>
        </w:rPr>
        <w:tab/>
      </w:r>
      <w:r>
        <w:rPr>
          <w:rFonts w:ascii="Times New Roman" w:cs="Times New Roman" w:eastAsia="Times New Roman" w:hAnsi="Times New Roman"/>
          <w:sz w:val="18"/>
          <w:szCs w:val="18"/>
          <w:color w:val="0000FF"/>
        </w:rPr>
        <w:t>100025</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1"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5"/>
              <w:spacing w:after="0"/>
              <w:rPr>
                <w:sz w:val="20"/>
                <w:szCs w:val="20"/>
                <w:color w:val="auto"/>
              </w:rPr>
            </w:pPr>
            <w:r>
              <w:rPr>
                <w:rFonts w:ascii="Times New Roman" w:cs="Times New Roman" w:eastAsia="Times New Roman" w:hAnsi="Times New Roman"/>
                <w:sz w:val="20"/>
                <w:szCs w:val="20"/>
                <w:color w:val="0000FF"/>
                <w:w w:val="97"/>
              </w:rPr>
              <w:t>10,542,529</w:t>
            </w:r>
          </w:p>
        </w:tc>
        <w:tc>
          <w:tcPr>
            <w:tcW w:w="1360" w:type="dxa"/>
            <w:vAlign w:val="bottom"/>
            <w:gridSpan w:val="2"/>
            <w:vMerge w:val="restart"/>
          </w:tcPr>
          <w:p>
            <w:pPr>
              <w:ind w:left="60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Northern Light Venture Fund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III, L.P.</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35"/>
              <w:spacing w:after="0"/>
              <w:rPr>
                <w:sz w:val="20"/>
                <w:szCs w:val="20"/>
                <w:color w:val="auto"/>
              </w:rPr>
            </w:pPr>
            <w:r>
              <w:rPr>
                <w:rFonts w:ascii="Times New Roman" w:cs="Times New Roman" w:eastAsia="Times New Roman" w:hAnsi="Times New Roman"/>
                <w:sz w:val="20"/>
                <w:szCs w:val="20"/>
                <w:color w:val="0000FF"/>
                <w:w w:val="97"/>
              </w:rPr>
              <w:t>1,188,025</w:t>
            </w:r>
          </w:p>
        </w:tc>
        <w:tc>
          <w:tcPr>
            <w:tcW w:w="1360" w:type="dxa"/>
            <w:vAlign w:val="bottom"/>
            <w:gridSpan w:val="2"/>
            <w:vMerge w:val="restart"/>
          </w:tcPr>
          <w:p>
            <w:pPr>
              <w:ind w:left="60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(2)</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Northern Light Venture Fund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III, L.P.</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5"/>
              <w:spacing w:after="0"/>
              <w:rPr>
                <w:sz w:val="20"/>
                <w:szCs w:val="20"/>
                <w:color w:val="auto"/>
              </w:rPr>
            </w:pPr>
            <w:r>
              <w:rPr>
                <w:rFonts w:ascii="Times New Roman" w:cs="Times New Roman" w:eastAsia="Times New Roman" w:hAnsi="Times New Roman"/>
                <w:sz w:val="20"/>
                <w:szCs w:val="20"/>
                <w:color w:val="0000FF"/>
                <w:w w:val="98"/>
              </w:rPr>
              <w:t>149,691</w:t>
            </w:r>
          </w:p>
        </w:tc>
        <w:tc>
          <w:tcPr>
            <w:tcW w:w="1360" w:type="dxa"/>
            <w:vAlign w:val="bottom"/>
            <w:gridSpan w:val="2"/>
            <w:vMerge w:val="restart"/>
          </w:tcPr>
          <w:p>
            <w:pPr>
              <w:ind w:left="60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(3)</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Northern Light Venture Fund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III, L.P.</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20" w:type="dxa"/>
            <w:vAlign w:val="bottom"/>
            <w:tcBorders>
              <w:bottom w:val="single" w:sz="8" w:color="2C2C2C"/>
            </w:tcBorders>
            <w:gridSpan w:val="5"/>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owned directly by Northern Light Venture Fund III, L.P., or NLVF III, a Cayman Islands exempted limited liability partnership. Northern Light Venture Capital III, Ltd., or NLVC, is the general partner of Northern Light Partners III, L.P., which in turn is the general partner of NLVF III. The Reporting Person is the director of NLVC and makes investment decisions with respect to the securities held by NLVF III. The reporting person disclaims beneficial ownership of the securities reported herein for purposes of Section 16, except to the extent of his pecuniary interest therein, if any.</w:t>
      </w:r>
    </w:p>
    <w:p>
      <w:pPr>
        <w:spacing w:after="0" w:line="33" w:lineRule="exact"/>
        <w:rPr>
          <w:rFonts w:ascii="Times New Roman" w:cs="Times New Roman" w:eastAsia="Times New Roman" w:hAnsi="Times New Roman"/>
          <w:sz w:val="15"/>
          <w:szCs w:val="15"/>
          <w:color w:val="008000"/>
        </w:rPr>
      </w:pPr>
    </w:p>
    <w:p>
      <w:pPr>
        <w:jc w:val="both"/>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owned directly by Northern Light Strategic Fund III, L.P., or NLSF III, a Cayman Islands exempted limited liability partnership. NLVC is the general partner of Northern Light Partners III, L.P., which in turn is the general partner of NLSF III. The Reporting Person is the director of NLVC and makes investment decisions with respect to the securities held by NLSF III. The reporting person disclaims beneficial ownership of the securities reported herein for purposes of Section 16, except to the extent of his pecuniary interest therein, if any.</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owned directly by Northern Light Partners Fund III, L.P., or NLPF III, a Cayman Islands exempted limited liability partnership, NLVC is the general partner of Northern Light Partners III, L.P., which in turn is the general partner of NLPF III. The Reporting Person is the director of NLVC and makes investment decisions with respect to the securities held by NLPF III. The reporting person disclaims beneficial ownership of the securities reported herein for purposes of Section 16, except to the extent of his pecuniary interest therein, if any.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Yuheng Huang,</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Deng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Feng</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 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3" w:name="page4"/>
    <w:bookmarkEnd w:id="3"/>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Deng Feng</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Deng Feng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65399"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2026-03-18T19:19:46Z</dcterms:created>
  <dcterms:modified xsi:type="dcterms:W3CDTF">2026-03-18T19:19:46Z</dcterms:modified>
</cp:coreProperties>
</file>