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REGISTRATION STATEMENT PURSUANT TO SECTION 12(b) OR (g) OF THE SECURITIES ACT OF 1934</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440" w:hanging="424"/>
        <w:spacing w:after="0" w:line="262" w:lineRule="auto"/>
        <w:tabs>
          <w:tab w:leader="none" w:pos="5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001-39316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Burning Rock Biotech Limited</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 5, Xingdao Ring Road North, International Bio Island, Guangzhou, 510005</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left="440" w:right="2480"/>
        <w:spacing w:after="0" w:line="262" w:lineRule="auto"/>
        <w:rPr>
          <w:sz w:val="20"/>
          <w:szCs w:val="20"/>
          <w:color w:val="auto"/>
        </w:rPr>
      </w:pPr>
      <w:r>
        <w:rPr>
          <w:rFonts w:ascii="Times New Roman" w:cs="Times New Roman" w:eastAsia="Times New Roman" w:hAnsi="Times New Roman"/>
          <w:sz w:val="18"/>
          <w:szCs w:val="18"/>
          <w:b w:val="1"/>
          <w:bCs w:val="1"/>
          <w:color w:val="auto"/>
        </w:rPr>
        <w:t>Ms. Xiaozhi Hu, Vice President of Finance Telephone: +86 020-3403 7871 Email: ir@brbiotech.com No. 5, Xingdao Ring Road North, International Bio Island, Guangzhou, 510005 The People’s Republic of China</w:t>
      </w:r>
    </w:p>
    <w:p>
      <w:pPr>
        <w:spacing w:after="0" w:line="2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BNR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ten Class A ordinary shares, par 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US$0.0002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US$0.0002</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140"/>
          </w:cols>
          <w:pgMar w:left="320" w:top="225" w:right="439" w:bottom="136"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ADSs on the Nasdaq Global Market.</w:t>
      </w:r>
    </w:p>
    <w:p>
      <w:pPr>
        <w:spacing w:after="0" w:line="22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8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87,857,741 Class A ordinary shares (excluding (i) the 651,908 Class A ordinary shares issued to the depositary bank for bulk issuance of ADSs reserved for future issuances upon the exercise or vesting of awards granted under share incentive plans, and (ii) 3,023,138 Class A ordinary shares as treasury shares), par value US$0.0002 per share and 17,324,848 Class B ordinary shares, par value US$0.0002 per share, as of December 31, 2025.</w:t>
      </w:r>
    </w:p>
    <w:p>
      <w:pPr>
        <w:spacing w:after="0" w:line="13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left="4"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ind w:left="4"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“emerging growth company” in Rule 12b-2 of the Exchange Act.</w:t>
      </w:r>
    </w:p>
    <w:p>
      <w:pPr>
        <w:sectPr>
          <w:pgSz w:w="11900" w:h="16838" w:orient="portrait"/>
          <w:cols w:equalWidth="0" w:num="1">
            <w:col w:w="11024"/>
          </w:cols>
          <w:pgMar w:left="436" w:top="135" w:right="439" w:bottom="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1624" w:space="720"/>
            <w:col w:w="1800" w:space="720"/>
            <w:col w:w="1220" w:space="100"/>
            <w:col w:w="1580" w:space="720"/>
            <w:col w:w="1600" w:space="720"/>
            <w:col w:w="220"/>
          </w:cols>
          <w:pgMar w:left="436" w:top="135" w:right="439" w:bottom="0" w:gutter="0" w:footer="0" w:header="0"/>
          <w:type w:val="continuous"/>
        </w:sectPr>
      </w:pPr>
    </w:p>
    <w:p>
      <w:pPr>
        <w:spacing w:after="0" w:line="41"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2">
            <w:col w:w="10464" w:space="340"/>
            <w:col w:w="220"/>
          </w:cols>
          <w:pgMar w:left="436" w:top="135" w:right="439" w:bottom="0" w:gutter="0" w:footer="0" w:header="0"/>
          <w:type w:val="continuous"/>
        </w:sectPr>
      </w:pPr>
    </w:p>
    <w:p>
      <w:pPr>
        <w:spacing w:after="0" w:line="25" w:lineRule="exact"/>
        <w:rPr>
          <w:sz w:val="20"/>
          <w:szCs w:val="20"/>
          <w:color w:val="auto"/>
        </w:rPr>
      </w:pPr>
    </w:p>
    <w:p>
      <w:pPr>
        <w:ind w:left="4" w:righ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98" w:lineRule="exact"/>
        <w:rPr>
          <w:sz w:val="20"/>
          <w:szCs w:val="20"/>
          <w:color w:val="auto"/>
        </w:rPr>
      </w:pPr>
    </w:p>
    <w:p>
      <w:pPr>
        <w:ind w:left="424" w:right="8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ind w:left="4"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accountant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right="1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left="4"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3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International Financial Reporting Standards as issued</w:t>
            </w:r>
          </w:p>
        </w:tc>
        <w:tc>
          <w:tcPr>
            <w:tcW w:w="2020" w:type="dxa"/>
            <w:vAlign w:val="bottom"/>
            <w:vMerge w:val="restart"/>
          </w:tcPr>
          <w:p>
            <w:pPr>
              <w:ind w:left="1360"/>
              <w:spacing w:after="0" w:line="207" w:lineRule="exact"/>
              <w:rPr>
                <w:sz w:val="20"/>
                <w:szCs w:val="20"/>
                <w:color w:val="auto"/>
              </w:rPr>
            </w:pPr>
            <w:r>
              <w:rPr>
                <w:rFonts w:ascii="Times New Roman" w:cs="Times New Roman" w:eastAsia="Times New Roman" w:hAnsi="Times New Roman"/>
                <w:sz w:val="18"/>
                <w:szCs w:val="18"/>
                <w:color w:val="auto"/>
                <w:w w:val="88"/>
              </w:rPr>
              <w:t xml:space="preserve">Other 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3"/>
        </w:trPr>
        <w:tc>
          <w:tcPr>
            <w:tcW w:w="2380" w:type="dxa"/>
            <w:vAlign w:val="bottom"/>
            <w:vMerge w:val="continue"/>
          </w:tcPr>
          <w:p>
            <w:pPr>
              <w:spacing w:after="0"/>
              <w:rPr>
                <w:sz w:val="24"/>
                <w:szCs w:val="24"/>
                <w:color w:val="auto"/>
              </w:rPr>
            </w:pPr>
          </w:p>
        </w:tc>
        <w:tc>
          <w:tcPr>
            <w:tcW w:w="6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6"/>
              </w:rPr>
              <w:t xml:space="preserve">   by the International Accounting Standards Board  </w:t>
            </w:r>
            <w:r>
              <w:rPr>
                <w:rFonts w:ascii="MS PGothic" w:cs="MS PGothic" w:eastAsia="MS PGothic" w:hAnsi="MS PGothic"/>
                <w:sz w:val="18"/>
                <w:szCs w:val="18"/>
                <w:color w:val="auto"/>
                <w:w w:val="96"/>
              </w:rPr>
              <w:t>☐</w:t>
            </w:r>
          </w:p>
        </w:tc>
        <w:tc>
          <w:tcPr>
            <w:tcW w:w="2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 w:right="36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30" w:lineRule="exact"/>
        <w:rPr>
          <w:sz w:val="20"/>
          <w:szCs w:val="20"/>
          <w:color w:val="auto"/>
        </w:rPr>
      </w:pPr>
    </w:p>
    <w:p>
      <w:pPr>
        <w:ind w:left="4" w:right="280"/>
        <w:spacing w:after="0" w:line="25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left="4"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5" w:right="4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4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40" w:type="dxa"/>
            <w:vAlign w:val="bottom"/>
            <w:gridSpan w:val="16"/>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9280" w:type="dxa"/>
            <w:vAlign w:val="bottom"/>
            <w:gridSpan w:val="35"/>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320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KEY INFORMATION</w:t>
            </w:r>
          </w:p>
        </w:tc>
        <w:tc>
          <w:tcPr>
            <w:tcW w:w="2340" w:type="dxa"/>
            <w:vAlign w:val="bottom"/>
            <w:tcBorders>
              <w:top w:val="single" w:sz="8" w:color="0000EE"/>
            </w:tcBorders>
            <w:gridSpan w:val="13"/>
          </w:tcPr>
          <w:p>
            <w:pPr>
              <w:spacing w:after="0"/>
              <w:rPr>
                <w:sz w:val="17"/>
                <w:szCs w:val="17"/>
                <w:color w:val="auto"/>
              </w:rPr>
            </w:pPr>
          </w:p>
        </w:tc>
        <w:tc>
          <w:tcPr>
            <w:tcW w:w="478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4A. UNSOLVED STAFF COMMENTS</w:t>
            </w:r>
          </w:p>
        </w:tc>
        <w:tc>
          <w:tcPr>
            <w:tcW w:w="140" w:type="dxa"/>
            <w:vAlign w:val="bottom"/>
            <w:tcBorders>
              <w:top w:val="single" w:sz="8" w:color="0000EE"/>
            </w:tcBorders>
          </w:tcPr>
          <w:p>
            <w:pPr>
              <w:spacing w:after="0"/>
              <w:rPr>
                <w:sz w:val="17"/>
                <w:szCs w:val="17"/>
                <w:color w:val="auto"/>
              </w:rPr>
            </w:pPr>
          </w:p>
        </w:tc>
        <w:tc>
          <w:tcPr>
            <w:tcW w:w="5940" w:type="dxa"/>
            <w:vAlign w:val="bottom"/>
            <w:gridSpan w:val="1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4140" w:type="dxa"/>
            <w:vAlign w:val="bottom"/>
            <w:gridSpan w:val="1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342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INFORMATION</w:t>
            </w:r>
          </w:p>
        </w:tc>
        <w:tc>
          <w:tcPr>
            <w:tcW w:w="6520" w:type="dxa"/>
            <w:vAlign w:val="bottom"/>
            <w:gridSpan w:val="2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THE OFFER AND LISTING</w:t>
            </w:r>
          </w:p>
        </w:tc>
        <w:tc>
          <w:tcPr>
            <w:tcW w:w="6660" w:type="dxa"/>
            <w:vAlign w:val="bottom"/>
            <w:gridSpan w:val="2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10. ADDITIONAL INFORMATION</w:t>
            </w:r>
          </w:p>
        </w:tc>
        <w:tc>
          <w:tcPr>
            <w:tcW w:w="6300" w:type="dxa"/>
            <w:vAlign w:val="bottom"/>
            <w:gridSpan w:val="2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11. QUALITATIVE AND QUANTITATIVE DISCLOSURES ABOUT MARKET RISK</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8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258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2"/>
              </w:rPr>
              <w:t>PART II</w:t>
            </w:r>
          </w:p>
        </w:tc>
        <w:tc>
          <w:tcPr>
            <w:tcW w:w="9220" w:type="dxa"/>
            <w:vAlign w:val="bottom"/>
            <w:gridSpan w:val="3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8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ITEM 16. [RESERVED]</w:t>
            </w:r>
          </w:p>
        </w:tc>
        <w:tc>
          <w:tcPr>
            <w:tcW w:w="612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16B. CODE OF ETHICS</w:t>
            </w:r>
          </w:p>
        </w:tc>
        <w:tc>
          <w:tcPr>
            <w:tcW w:w="1960" w:type="dxa"/>
            <w:vAlign w:val="bottom"/>
            <w:tcBorders>
              <w:top w:val="single" w:sz="8" w:color="0000EE"/>
            </w:tcBorders>
            <w:gridSpan w:val="13"/>
          </w:tcPr>
          <w:p>
            <w:pPr>
              <w:spacing w:after="0"/>
              <w:rPr>
                <w:sz w:val="17"/>
                <w:szCs w:val="17"/>
                <w:color w:val="auto"/>
              </w:rPr>
            </w:pPr>
          </w:p>
        </w:tc>
        <w:tc>
          <w:tcPr>
            <w:tcW w:w="5180" w:type="dxa"/>
            <w:vAlign w:val="bottom"/>
            <w:gridSpan w:val="1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4620" w:type="dxa"/>
            <w:vAlign w:val="bottom"/>
            <w:gridSpan w:val="1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4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242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16E. PURCHASES OF EQUITY SECURITIES BY THE ISSUER AND AFFILIATED PURCHASERS</w:t>
            </w:r>
          </w:p>
        </w:tc>
        <w:tc>
          <w:tcPr>
            <w:tcW w:w="144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16F. CHANGE IN REGISTRANT’S CERTIFYING ACCOUNTANT</w:t>
            </w:r>
          </w:p>
        </w:tc>
        <w:tc>
          <w:tcPr>
            <w:tcW w:w="394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16G. CORPORATE GOVERNANCE</w:t>
            </w:r>
          </w:p>
        </w:tc>
        <w:tc>
          <w:tcPr>
            <w:tcW w:w="6240" w:type="dxa"/>
            <w:vAlign w:val="bottom"/>
            <w:gridSpan w:val="2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16H. MINE SAFETY DISCLOSURE</w:t>
            </w:r>
          </w:p>
        </w:tc>
        <w:tc>
          <w:tcPr>
            <w:tcW w:w="6220" w:type="dxa"/>
            <w:vAlign w:val="bottom"/>
            <w:gridSpan w:val="1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16I. DISCLOSURE REGARDING FOREIGN JURISDICTION THAT PREVENT INSPECTIONS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16J. INSIDER TRADING POLICIES</w:t>
            </w:r>
          </w:p>
        </w:tc>
        <w:tc>
          <w:tcPr>
            <w:tcW w:w="4440" w:type="dxa"/>
            <w:vAlign w:val="bottom"/>
            <w:tcBorders>
              <w:top w:val="single" w:sz="8" w:color="0000EE"/>
            </w:tcBorders>
            <w:gridSpan w:val="17"/>
          </w:tcPr>
          <w:p>
            <w:pPr>
              <w:spacing w:after="0"/>
              <w:rPr>
                <w:sz w:val="17"/>
                <w:szCs w:val="17"/>
                <w:color w:val="auto"/>
              </w:rPr>
            </w:pPr>
          </w:p>
        </w:tc>
        <w:tc>
          <w:tcPr>
            <w:tcW w:w="180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16K. CYBERSECURITY</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2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PART III</w:t>
            </w:r>
          </w:p>
        </w:tc>
        <w:tc>
          <w:tcPr>
            <w:tcW w:w="9160" w:type="dxa"/>
            <w:vAlign w:val="bottom"/>
            <w:gridSpan w:val="3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17. FINANCIAL STATEMENTS</w:t>
            </w:r>
          </w:p>
        </w:tc>
        <w:tc>
          <w:tcPr>
            <w:tcW w:w="6540" w:type="dxa"/>
            <w:vAlign w:val="bottom"/>
            <w:gridSpan w:val="2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19. EXHIBITS</w:t>
            </w:r>
          </w:p>
        </w:tc>
        <w:tc>
          <w:tcPr>
            <w:tcW w:w="1320" w:type="dxa"/>
            <w:vAlign w:val="bottom"/>
            <w:tcBorders>
              <w:top w:val="single" w:sz="8" w:color="0000EE"/>
            </w:tcBorders>
            <w:gridSpan w:val="6"/>
          </w:tcPr>
          <w:p>
            <w:pPr>
              <w:spacing w:after="0"/>
              <w:rPr>
                <w:sz w:val="17"/>
                <w:szCs w:val="17"/>
                <w:color w:val="auto"/>
              </w:rPr>
            </w:pPr>
          </w:p>
        </w:tc>
        <w:tc>
          <w:tcPr>
            <w:tcW w:w="6560" w:type="dxa"/>
            <w:vAlign w:val="bottom"/>
            <w:gridSpan w:val="2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8720" w:type="dxa"/>
            <w:vAlign w:val="bottom"/>
            <w:gridSpan w:val="3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on Form 20-F to:</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American depositary shares, each of which represents ten Class A ordinary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“Burning Rock” refers to Burning Rock Biotech Limited, the holding company;</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including Hong Kong, Macau and Taiwan; the only instances in which “China” or “the PRC” do not include Hong Kong, Macau or Taiwan are when used in the case of laws and regulations adopted by the People’s Republic of China; the legal and operational risks associated with operating in China also apply to our operations in Hong Kong; “Chinese mainland” refers to the People’s Republic of China, excluding Hong Kong, Macau and Taiwan;</w:t>
      </w:r>
    </w:p>
    <w:p>
      <w:pPr>
        <w:spacing w:after="0" w:line="85"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 biopsy” refers to a test done on a blood sample that enables the access to the molecular information, by looking for cancer cells from a tumor that are circulating in the blood or for pieces of DNA from tumor cells that are in the blood, throughout all stages of cancer;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“MRD” refers to molecular residual disease, a small number of cancer cells left in the body after treatment;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“NGS” refers to next-generation sequencing, a DNA sequencing technology used to determine the nucleotide sequence of an individual’s genome;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refers to the percentage of people who test positive for a specific disease or condition among people who actually have the disease or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and Class B ordinary shares, par value US$0.0002 per share;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“specificity” refers to the percentage of people who test negative for a specific disease or condition among people who do not have the disease or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accounting principles generally accepted in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refer to the legal currency of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refers Burning Rock (Beijing) Biotechnology Co. Ltd., our PRC variable interest entity;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WFOE” refers to Guangzhou Burning Rock Biotech Limited since May 10, 2024, or Beijing Burning Rock Biotech Limited prior to May 10, 2024;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Burning Rock Biotech Limited, the holding company, and its subsidiaries and consolidated affiliated entities, as a group.</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reporting currency is the Renminbi. This annual report also contains translations of certain foreign currency amounts into U.S. dollars for the convenience of the reader. Unless otherwise stated, all translations from Renminbi to U.S. dollars were made at a rate of RMB6.9931 to US$1.00, the exchange rate set forth in the H.10 statistical release of the Board of Governors of the Federal Reserve System on December 31, 2025. We make no representation that any Renminbi or U.S. dollar amounts referred to in this annual report could have been or could be converted into U.S. dollars or Renminbi, as the case may be, at any particular rate, or at all. On April 24, 2026, the exchange rate set forth in the H.10 statistical release of the Federal Reserve Board was RMB6.8359 to US$1.00.</w:t>
      </w: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82"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annual report on Form 20-F contains statements of a forward-looking nature. All statements other than statements of current or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competition in China’s cancer genotyping industry;</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NGS-based products and services and our ability to expand our customer base;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protections for our cancer therapy selection technologies and our continued research and development to keep pace with technology developments;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from China’s National Medical Products Administration (“NMPA”), the NCCL and have our laboratory certified or accredited by authorities including the CLIA and the CAP;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cost-effectively;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of government regulations, regardless of whether they are directly related to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maintain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our major business partners and customers;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geopolitical tensions and national trade, investment, protectionist and other policies, including but not limited to export control, outbound investment, data security and trade sanctions, that could place restrictions on economic and commercial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national health concerns, including the outbreak of pandemic or contagious diseases;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elsewhere.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these statements in conjunction with the risks disclosed in “Item 3. Key Information—D. Risk Factors” of this annual report and other risks outlined in our other filings with the Securities and Exchange Commission, or the SEC.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560"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 IDENTITY OF DIRECTORS, SENIOR MANAGEMENT AND ADVISERS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Being Based in or Having the Majority of the Operations in China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we mainly conduct our business in China, we may be subject to PRC laws relating to, among others, data security and restrictions over foreign investments in scientific research and technical services and other industry sectors set out in the Special Administrative Measures (Negative List) for the Access of Foreign Investment (2024 Edition), or the Negative List (2024 Edition). Specifically, 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These PRC laws and their interpretations and enforcement continue to develop and are subject to change, and the PRC government may adopt other rules and restrictions in the future.</w:t>
      </w:r>
    </w:p>
    <w:p>
      <w:pPr>
        <w:spacing w:after="0" w:line="18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are exposed to legal and operational risks associated with our operations in China. Changes in China’s and global evolving economic, political or social conditions or government policies could have material adverse effect on our business, results of operations, financial condition, and the value of our securities. We may also be subject to sanctions imposed by PRC regulatory agencies, including the China Securities Regulatory Commission (the “CSRC”), if we fail to comply with their rules and regulations. Any actions by the PRC government to exert more oversight and control over offerings that are conducted overseas and/or foreign investment in companies having operations in China, including us, could significantly limit or completely hinder our ability to offer or continue to offer securities to investors, and cause the value of our securities to significantly decline or become worthless. These China-related risks could result in a material change in our operations and/or the value of our securities, or could significantly limit or completely hinder our ability to offer securities to investors in the future and cause the value of such securities to significantly decline or become worthless.</w:t>
      </w:r>
    </w:p>
    <w:p>
      <w:pPr>
        <w:spacing w:after="0" w:line="17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PRC government may exert, at any time, substantial intervention and influence over the manner of our operations.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new laws and regulations related to data security, and expanding the efforts in anti-monopoly enforcement.</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28, 2021, the CAC, and 12 other departments jointly promulgated the newly revised Measures for Cybersecurity Review with effect from February 15, 2022 (“Measures”), which provides that (i) a critical information infrastructure operator (“CIIO”) which intends to purchase network products and services shall prejudge the possible risks to national security that may arise after the products and services are put into use and where national security will or may be affected, the operator shall apply with the Cybersecurity Review Office for cybersecurity review, and (ii) a network platform operator (“NPO”) that possesses more than one million users’ personal information must apply for cybersecurity review before listing in a foreign country.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30, 2024, the State Counsel issued the Regulations on the Administration of Cyber Data Security which took effect on January 1, 2025 and expanded the scope of application of cybersecurity review, established the data classified and categorized protection system, and defined the relevant rules for cross-border security management of data. It provides that data processors who carry out network data processing activities that affect or may affect national security are subject to a national security review in accordance with relevant national regulations.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According to the above provisions, we will be subject to cybersecurity review if we are identified as a CIIO that procures network products or services which affect or may affect national security after being put into use or NPO that conducts data processing activities which affect or may affect national security, or we have more than one million users’ personal information and plans to be listed abroad.</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and our PRC legal counsel, Shihui Partners, are of the view that, as of the date of this annual report, the possibility that we become identified as a CIIO or NPO and accordingly would be subject to the cybersecurity review pursuant to the relevant regulations and policies that have been issued by the CAC is relatively low, due to the following reasons:</w:t>
      </w:r>
    </w:p>
    <w:p>
      <w:pPr>
        <w:spacing w:after="0" w:line="81" w:lineRule="exact"/>
        <w:rPr>
          <w:sz w:val="20"/>
          <w:szCs w:val="20"/>
          <w:color w:val="auto"/>
        </w:rPr>
      </w:pPr>
    </w:p>
    <w:p>
      <w:pPr>
        <w:jc w:val="both"/>
        <w:ind w:left="1080" w:right="60" w:hanging="539"/>
        <w:spacing w:after="0" w:line="289" w:lineRule="auto"/>
        <w:tabs>
          <w:tab w:leader="none" w:pos="10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we have not received any CIIO identification notice as of the date of this annual report, which is required to be issued in a timely manner by competent departments responsible for the security protection work of critical information infrastructures after they have organized the CIIO identification in the industry in accordance with the Regulations on the Security Protection of Critical Information Infrastructures;</w:t>
      </w:r>
    </w:p>
    <w:p>
      <w:pPr>
        <w:spacing w:after="0" w:line="63" w:lineRule="exact"/>
        <w:rPr>
          <w:sz w:val="20"/>
          <w:szCs w:val="20"/>
          <w:color w:val="auto"/>
        </w:rPr>
      </w:pPr>
    </w:p>
    <w:p>
      <w:pPr>
        <w:ind w:left="1080" w:right="180" w:hanging="539"/>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(ii).</w:t>
        <w:tab/>
        <w:t>NPO is not defined in the Measures and even if a company has been identified as NPO, whether such a company needs to be subject to cybersecurity review depends on whether its data processing activities will “affect or may affect national security.” As of the date of this annual report, we have not experienced any major information security incident in relation to the theft, leakage, damage, illegal use or illegal export of data or personal information. In addition, all the user data collected by us in business operation are stored in Chinese mainland;</w:t>
      </w:r>
    </w:p>
    <w:p>
      <w:pPr>
        <w:spacing w:after="0" w:line="8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(iii).</w:t>
        <w:tab/>
        <w:t>We process no more than one million users’ personal information; and</w:t>
      </w:r>
    </w:p>
    <w:p>
      <w:pPr>
        <w:spacing w:after="0" w:line="131" w:lineRule="exact"/>
        <w:rPr>
          <w:sz w:val="20"/>
          <w:szCs w:val="20"/>
          <w:color w:val="auto"/>
        </w:rPr>
      </w:pPr>
    </w:p>
    <w:p>
      <w:pPr>
        <w:ind w:left="1080" w:right="80" w:hanging="539"/>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(iv).</w:t>
        <w:tab/>
        <w:t>However, according to article 16 of the Measures, the member unit of the cybersecurity review work mechanism (the “Cybersecurity Member Unit”) has the right to initiate review on network products and services and data processing activities that it deems as “affect or may affect national security” at its own discretion. If the Cybersecurity Member Unit decides to take a cybersecurity review on us and we fail such review, it could significantly limit or completely hinder our ability to offer or continue to offer securities to investors and cause the value of our securities to significantly decline or become worthless.</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but in anticipation of the strengthened implementation of cybersecurity laws and regulations and the expansion of our business, we face potential risks if we are deemed as a CIIO under applicable laws. In such case, we must fulfill certain obligations as required under the Cybersecurity Law and other applicable laws, including, among others, storing personal information and important data collected and produced within the PRC territory during our operations in China, which we are already doing in our business, and we may be subject to review when purchasing internet products and services. As the amended Measures for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Shihui Partners, do not expect that, as of the date of this annual report, the current applicable PRC laws on cybersecurity would have a material adverse impact on our business. After consulting with our PRC legal counsel, Shihui Partners, we believe that we are in compliance with regulations or policies that have been issued by the CAC as of the date of this annual report in all material aspects, on the following bases: (i) we have set up internal cybersecurity regulations, including data backup and recovery measures and disaster recovery measures; (ii) we have completed the Grade III information security protection filing for major software as required by the relevant regulations and policies issued by relevant authorities; (iii) we inform our users and obtain their consent before collecting their personal information; (iv) we store relevant information in our own servers within the PRC; (v) we have not been investigated or received any request from any CAC authorities as of the date of this annual report; (vi) we have not been subject to any administrative penalties regarding cybersecurity or data security issues as of the date of this annual report; and (vii) we have not been a party to any litigation or arbitration regarding with cybersecurity or data security issues as of the date of this annual report. As advised by Shihui Partners, our PRC counsel, as of the date of this annual report, we are not subject to any cybersecurity review under the cybersecurity laws and regulations.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As of the date of this annual report, we have not been involved in any investigations on data security compliance made in connection with the PRC Data Security Law, and we have not received any inquiry, notice, warning, or sanctions in such respect. Based on the foregoing, we do not expect that, as of the date of this annual report, the PRC Data Security Law would have a material adverse impact on our business.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6, 2021, the relevant PRC governmental authorities published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annual report, we have not received any inquiry, notice, warning, or sanctions from the CSRC or any other PRC government authorities. Based on the foregoing and the currently effective PRC laws, we and our PRC legal counsel, Shihui Partners, are of the view that, as of the date of this annual report, these opinions do not have a material adverse impact on our business.</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and five related guidelines, collectively, the Overseas Listing Trial Measures, which became effective on March 31, 2023. The Overseas Listing Trial Measures regulate both direct and indirect overseas offering and listing of PRC domestic companies’ securities by adopting a filing-based regulatory regime. Pursuant to the Overseas Listing Trial Measures, initial public offering or listings in overseas markets shall be filed with the CSRC within three working days after the relevant application is submitted overseas. Furthermore, it is stipulated, among others, that an overseas offering and listing shall be prohibited under any of the following circumstances: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PRC domestic company intending to make the securities offering and listing, or its controlling shareholders and the actual controller, have committed crimes such as corruption, bribery, embezzlement, misappropriation or property or undermining the order of the socialist market economy during the last three years; (iv) where the PRC domestic company intending to make the securities offering and listing is suspected of committing crimes or major violations of laws and regulations, and is under investigation according to law, and no conclusion has been made thereof; (v) where there are material ownership disputes over equity held by the PRC domestic company’s controlling shareholder or by other shareholders that are controlled by the controlling shareholder and/or actual controller. The Overseas Listing Trial Measures also provide that any overseas offering and listing made by an issuer that meets both the following conditions will be determined as indirect overseas offering and listing of PRC domestic companies: (i) 50% or more of the issuer’s operating revenue, total profit, total assets or net assets as documented in its audited consolidated financial statements for the most recent accounting year is accounted for by PRC domestic companies; and (ii) the main parts of the issuer’s business activities are conducted in Chinese mainland, or its main places of business are located Chinese mainland, or the senior management personal in charge of its business operation and management are mostly Chinses citizens or domiciled in Chinese mainland. On February 17, 2023, the CSRC issued the Notice on the Administrative Arrangements for the Filing of Overseas Listings by Domestic Enterprises. The CSRC clarified that on March 31, 2023, the effective date of the Overseas Listing Trial Measures, the PRC domestic companies that have been listed overseas by March 31, 2023 are not required to file immediately, and filing should be made as required if they involve refinancing and other filing matters. As the requirements under Overseas Listing Trial Measures are new and evolving, there remains substantial uncertainties as to their interpretation and implementation and how they may impact our ability to raise or utilize fund and business operation. In particular, there are uncertainties as to the form and substance of regulatory requirements and we cannot assure you that, when required, we can complete the requisite filing with such form and content satisfactory to the relevant regulators in a timely manner. Any delays in completing the filing requirements may adversely affect our ability to complete our capital raising activities from the capital markets in the future.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February 24, 2023, the CSRC, the Ministry of Finance, the National Administration of State Secrets Protection and the National Archives Administration jointly issued the Provisions on Strengthening Confidentiality and Archives Administration of Overseas Securities Offering and Listing by Domestic Companies, or the Confidentiality and Archives Provisions, which took effect from March 31, 2023. The Confidentiality and Archives Provisions specify that during the overseas issuance of securities and listing activities of domestic enterprises, domestic enterprises and securities companies and securities service institutions that provide relevant securities services shall, by strictly abiding by the relevant laws and regulations of the PRC and the requirements therein, establish sound confidentiality and archives management systems, take necessary measures to implement confidentiality and archives management responsibilities, and shall not leak national secrets, work secrets of governmental agencies and undermine national and public interests. Work manuscripts generated in the PRC by securities companies and securities service institutions that provide relevant securities services for overseas issuance and listing of securities by domestic enterprises shall be kept in the PRC. Without the approval of relevant competent authorities, it shall not be transferred overseas. Where archives or copies need to be transferred outside of the PRC, it shall be subject to the approval procedures in accordance with relevant PRC regulations.</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our ability to accept foreign investments and conduct follow-on offerings, and listing or continuing listing on a U.S. or other foreign exchanges. In addition, the PRC government has recently published new policies that significantly affected certain industries such as the education and internet industries, and we cannot rule out the possibility that it will in the future release regulations or policies regarding any other industry including the industry in which we operate, which could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Our Corporate Structure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Burning Rock Biotech Limited, our ultimate Cayman Islands holding company, does not have any substantive operations other than directly controlling Guangzhou Burning Rock Biotech Limited, our wholly foreign owned entity (the “WFOE”) (or Beijing Burning Rock Biotech Limited, our previous WFOE until May 10, 2024), and indirectly controlling Burning Rock (Beijing) Biotechnology Co., Ltd., the variable interest entity (the “VIE”), through certain contractual arrangements. These contractual arrangements were amended and restated in October 2019. See “Item 4. Information on the Company—C. Organizational Structure—Contractual Arrangements.” What the ADSs investors purchased are equity securities of our ultimate Cayman Islands holding company rather than equity securities of the VIE. We conduct our business operations through both the consolidated subsidiaries, and the VIE and the VIE’s subsidiaries. We, together with the VIE and its subsidiaries, are subject to PRC laws relating to, among others, restrictions over foreign investments in distribution of online information and other value-added telecommunication services set out in the Negative List (2024 Edition) promulgated by the Ministry of Commerce, or MOFCOM, and the National Development and Reform Commission, or NDRC. The VIE structure is used to replicate foreign investment in China-based companies where the PRC law prohibits direct foreign investment in the operating companies. Neither we nor our subsidiaries own any share in the VIE or any of its subsidiaries. Instead, we control and receive the economic benefits of the business operation of the VIE or any of its subsidiaries through a series of contractual agreements with the VIE. The contractual agreements with the VIE are designed to provide the WFOE with the power, rights, and obligations equivalent in all material respects to those it would possess as the principal equity holder of the VIE, including absolute control rights and the rights to the assets, property, and revenue of the VIE and its subsidiaries. As a result of our direct ownership in the WFOE and the contractual agreements with the VIE, we are regarded as the primary beneficiary of the VIE and its subsidiaries. Because of our corporate structure, we are subject to risks due to uncertainty of the interpretation and the application of the PRC laws and regulations, including but not limited to limitation on foreign ownership of internet technology companies, and regulatory review of oversea listing of PRC companies through a special purpose vehicle, and the validity and enforcement of the contractual agreements. We are also subject to the risks of uncertainty about any future actions of the PRC government in this regard. Our contractual agreements may not be effective in providing control over the VIE and its subsidiaries. We may also subject to sanctions imposed by PRC regulatory agencies including CSRC if we fail to comply with their rules and regulations.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and the VIE and its subsidiaries face various legal and operational risks and uncertainties related to being based in and having significant operations in China. The PRC government has significant authority to exert influence on the ability of a China-based company, such as us and the VIE and its subsidiaries, to conduct its business, accept foreign investments or list on U.S. or other foreign exchanges. For example, we and the VIE and its subsidiaries face risks associated with regulatory approvals of offshore offerings, oversight on cybersecurity and data privacy. Such risks could result in a material change in our operations and/or the value of the ADSs or could significantly limit or completely hinder our ability to offer ADSs and/or other securities to investors and cause the value of such securities to significantly decline or be worthless.</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more information on risks related to our corporate structure, see “Item 3. Key Information—D. Risk Factors—Risks Relating to Our Corporate Structure.” For more information on the requisite permissions and approvals for our business and the consequences in relation to failure to obtain the same, see “Item 3. Key Information—D. Risk Factors—Risks Relating to Government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primarily through our subsidiaries in China and the VIE and its subsidiaries. Our operation and the operation of the VIE and its subsidiaries are governed by PRC laws and regulations. Save as otherwise disclosed in “—D. Risk Factors—Risks Relating to Government Regulations”, as of the date of this annual report, our PRC subsidiaries and the VIE and its subsidiaries have obtained the requisite licenses and permits from the PRC government authorities that are material for their business operations in China. If we, the VIE, or any of its subsidiaries fail to obtain or maintain such licenses or permits,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As of the date of this annual report, none of us, the VIE, or any of its subsidiaries have been subject to any penalties from the relevant authorities for failure to obtain or maintain any required licenses or permits. Given the uncertainties of interpretation and implementation of relevant laws and regulations and the enforcement practice by government authorities, we cannot assure you that we are able to maintain our existing licenses and permits or obtain additional licenses, permits, filings or approvals for providing our products and services in the future. See “Item 3. Key Information—D. Risk Factors—Risks Relating to Our Business and Industry—We are subject to extensive legal and regulatory requirements in China for our NGS-based products and services. Any lack of requisite certificates, licenses or permits applicable to our business may have an adverse impact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the Holding Foreign Companies Accountable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adopted the Holding Foreign Companies Accountable Act on December 18, 2020, and it was amended by the Consolidated Appropriations Act, 2023 on December 17, 2022 (the amended act, the “HFCA Act”). The HFCA Act states if the SEC determines that we have filed audit reports issued by a registered public accounting firm that has not been subject to inspection by the PCAOB for two consecutive years, the SEC shall prohibit our securities, including our ADSs, from being traded on a U.S. national securities exchange, including the Nasdaq, or in the over-the-counter trading market in the U.S. On December 16, 2021, the PCAOB issued a report to notify the SEC of its determination that the PCAOB was unable to inspect or investigate completely registered public accounting firms headquartered in Chinese mainland and Hong Kong, including our auditor. In May 2022, the SEC conclusively listed us as a Commission-Identified Issuer under the HFCA Act following the filing of our annual report on Form 20-F for the fiscal year ended December 31, 2021. On December 15, 2022, the PCAOB issued a report that vacated its previous determination issued on December 16, 2021 and removed Chinese mainland and Hong Kong from the list of jurisdictions where it is unable to inspect or investigate completely registered public accounting firms. For this reason, we do not expect to be identified as a Commission Identified Issuer under the HFCA Act after we file this annual report on Form 20-F.</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amendments made to the HFCA Act, the PCAOB may determine that it is unable to inspect or investigate completely registered public accounting firms in any foreign jurisdictions because of positions taken by any foreign authority, rather than an authority in the location in which the firms are headquartered or in which they have a branch or office, as was the case under the original version of the Act.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again be identified as a Commission Identified Issuer following the filing of the annual report on Form 20-F for the relevant fiscal year. There can be no assurance that we would not be identified as a Commission Identified Issuer for any future fiscal year, and if we were so identified for two consecutive years, we would become subject to the prohibition on trading under the HFCA Act. See “Item 3. Key Information—D. Risk Factors—Risks Related to Doing Business in the PRC—The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“—Our ADSs may be prohibited from trading in the United States under the HFCA Act in the future if the PCAOB is unable to inspect or investigate completely our current auditor. The delisting of the ADSs, or the threat of their being delisted, may materially and adversely affect the value of your investment.”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Financial Position and Cash Flows of the VIE and Its Subsidiaries</w:t>
      </w:r>
    </w:p>
    <w:p>
      <w:pPr>
        <w:spacing w:after="0" w:line="121" w:lineRule="exact"/>
        <w:rPr>
          <w:sz w:val="20"/>
          <w:szCs w:val="20"/>
          <w:color w:val="auto"/>
        </w:rPr>
      </w:pPr>
    </w:p>
    <w:p>
      <w:pPr>
        <w:ind w:left="120" w:right="1040" w:firstLine="440"/>
        <w:spacing w:after="0" w:line="282" w:lineRule="auto"/>
        <w:rPr>
          <w:sz w:val="20"/>
          <w:szCs w:val="20"/>
          <w:color w:val="auto"/>
        </w:rPr>
      </w:pPr>
      <w:r>
        <w:rPr>
          <w:rFonts w:ascii="Times New Roman" w:cs="Times New Roman" w:eastAsia="Times New Roman" w:hAnsi="Times New Roman"/>
          <w:sz w:val="18"/>
          <w:szCs w:val="18"/>
          <w:color w:val="auto"/>
        </w:rPr>
        <w:t>The tables below set forth the results of operations of the VIE and subsidiaries of the VIE included in our consolidated statements of comprehensive loss for 2023, 2024 and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320" w:type="dxa"/>
            <w:vAlign w:val="bottom"/>
          </w:tcPr>
          <w:p>
            <w:pPr>
              <w:spacing w:after="0"/>
              <w:rPr>
                <w:sz w:val="10"/>
                <w:szCs w:val="10"/>
                <w:color w:val="auto"/>
              </w:rPr>
            </w:pPr>
          </w:p>
        </w:tc>
        <w:tc>
          <w:tcPr>
            <w:tcW w:w="1140" w:type="dxa"/>
            <w:vAlign w:val="bottom"/>
            <w:gridSpan w:val="5"/>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320" w:type="dxa"/>
            <w:vAlign w:val="bottom"/>
          </w:tcPr>
          <w:p>
            <w:pPr>
              <w:spacing w:after="0"/>
              <w:rPr>
                <w:sz w:val="15"/>
                <w:szCs w:val="15"/>
                <w:color w:val="auto"/>
              </w:rPr>
            </w:pPr>
          </w:p>
        </w:tc>
        <w:tc>
          <w:tcPr>
            <w:tcW w:w="1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13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6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10"/>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537,502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(87,826)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537,435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(318,484)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(340,575)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5,370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(653,689)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320" w:type="dxa"/>
            <w:vAlign w:val="bottom"/>
          </w:tcPr>
          <w:p>
            <w:pPr>
              <w:spacing w:after="0"/>
              <w:rPr>
                <w:sz w:val="10"/>
                <w:szCs w:val="10"/>
                <w:color w:val="auto"/>
              </w:rPr>
            </w:pPr>
          </w:p>
        </w:tc>
        <w:tc>
          <w:tcPr>
            <w:tcW w:w="1140" w:type="dxa"/>
            <w:vAlign w:val="bottom"/>
            <w:gridSpan w:val="5"/>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320" w:type="dxa"/>
            <w:vAlign w:val="bottom"/>
          </w:tcPr>
          <w:p>
            <w:pPr>
              <w:spacing w:after="0"/>
              <w:rPr>
                <w:sz w:val="15"/>
                <w:szCs w:val="15"/>
                <w:color w:val="auto"/>
              </w:rPr>
            </w:pPr>
          </w:p>
        </w:tc>
        <w:tc>
          <w:tcPr>
            <w:tcW w:w="1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13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6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10"/>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511,590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(38,298)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515,822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(221,568)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(126,621)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1,563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(346,626)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300" w:type="dxa"/>
            <w:vAlign w:val="bottom"/>
          </w:tcPr>
          <w:p>
            <w:pPr>
              <w:spacing w:after="0"/>
              <w:rPr>
                <w:sz w:val="10"/>
                <w:szCs w:val="10"/>
                <w:color w:val="auto"/>
              </w:rPr>
            </w:pPr>
          </w:p>
        </w:tc>
        <w:tc>
          <w:tcPr>
            <w:tcW w:w="960" w:type="dxa"/>
            <w:vAlign w:val="bottom"/>
            <w:gridSpan w:val="5"/>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300" w:type="dxa"/>
            <w:vAlign w:val="bottom"/>
          </w:tcPr>
          <w:p>
            <w:pPr>
              <w:spacing w:after="0"/>
              <w:rPr>
                <w:sz w:val="10"/>
                <w:szCs w:val="10"/>
                <w:color w:val="auto"/>
              </w:rPr>
            </w:pPr>
          </w:p>
        </w:tc>
        <w:tc>
          <w:tcPr>
            <w:tcW w:w="9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0"/>
                <w:szCs w:val="10"/>
                <w:color w:val="auto"/>
              </w:rPr>
            </w:pPr>
          </w:p>
        </w:tc>
        <w:tc>
          <w:tcPr>
            <w:tcW w:w="880" w:type="dxa"/>
            <w:vAlign w:val="bottom"/>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tcPr>
          <w:p>
            <w:pPr>
              <w:spacing w:after="0"/>
              <w:rPr>
                <w:sz w:val="10"/>
                <w:szCs w:val="10"/>
                <w:color w:val="auto"/>
              </w:rPr>
            </w:pPr>
          </w:p>
        </w:tc>
        <w:tc>
          <w:tcPr>
            <w:tcW w:w="8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300" w:type="dxa"/>
            <w:vAlign w:val="bottom"/>
          </w:tcPr>
          <w:p>
            <w:pPr>
              <w:spacing w:after="0"/>
              <w:rPr>
                <w:sz w:val="15"/>
                <w:szCs w:val="15"/>
                <w:color w:val="auto"/>
              </w:rPr>
            </w:pPr>
          </w:p>
        </w:tc>
        <w:tc>
          <w:tcPr>
            <w:tcW w:w="9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0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5"/>
                <w:szCs w:val="15"/>
                <w:color w:val="auto"/>
              </w:rPr>
            </w:pPr>
          </w:p>
        </w:tc>
        <w:tc>
          <w:tcPr>
            <w:tcW w:w="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43,970</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532,828</w:t>
            </w:r>
          </w:p>
        </w:tc>
        <w:tc>
          <w:tcPr>
            <w:tcW w:w="12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(37,230)</w:t>
            </w: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539,568</w:t>
            </w:r>
          </w:p>
        </w:tc>
        <w:tc>
          <w:tcPr>
            <w:tcW w:w="12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77,157</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(151,484)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6"/>
              </w:rPr>
              <w:t>96,146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(55,346)</w:t>
            </w:r>
          </w:p>
        </w:tc>
        <w:tc>
          <w:tcPr>
            <w:tcW w:w="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tables below set forth the condensed consolidating schedule of financial position of the VIE and subsidiaries of the VIE as of the dates indicated: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gridSpan w:val="2"/>
            <w:vMerge w:val="continue"/>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368,902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150,947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519,849</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2,293</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1,768,322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605,656</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(2,373,978)</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2,160,792</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989,804</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(2,373,978)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776,618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41,469</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67,218</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108,687</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2,202,261</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1,057,022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(2,373,978)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885,305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1,570,492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1,768,322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(3,338,814)</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1,621,434</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2,021,858</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(3,338,814)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304,478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580,827</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(964,836)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964,836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580,827</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 (deficit)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2,202,261</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1,057,022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(2,373,978)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885,305</w:t>
            </w:r>
          </w:p>
        </w:tc>
        <w:tc>
          <w:tcPr>
            <w:tcW w:w="0" w:type="dxa"/>
            <w:vAlign w:val="bottom"/>
          </w:tcPr>
          <w:p>
            <w:pPr>
              <w:spacing w:after="0"/>
              <w:rPr>
                <w:sz w:val="1"/>
                <w:szCs w:val="1"/>
                <w:color w:val="auto"/>
              </w:rPr>
            </w:pPr>
          </w:p>
        </w:tc>
      </w:tr>
    </w:tbl>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0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6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243,002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235,390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478,392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68,409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2,676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2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1,653,528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517,689</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(2,171,217)</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1,922,351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987,452</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(2,171,217)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738,586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34,323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47,466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1,956,674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1,034,918</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(2,171,217)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820,375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117,312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2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1,373,147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1,653,528</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(3,026,675)</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1,421,410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1,890,376</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(3,026,675)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285,111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40,770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535,264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(855,458)</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855,458</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535,264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76,542</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 (deficit)</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1,956,674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1,034,918</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(2,171,217)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820,375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117,312</w:t>
            </w:r>
          </w:p>
        </w:tc>
        <w:tc>
          <w:tcPr>
            <w:tcW w:w="0" w:type="dxa"/>
            <w:vAlign w:val="bottom"/>
          </w:tcPr>
          <w:p>
            <w:pPr>
              <w:spacing w:after="0"/>
              <w:rPr>
                <w:sz w:val="1"/>
                <w:szCs w:val="1"/>
                <w:color w:val="auto"/>
              </w:rPr>
            </w:pPr>
          </w:p>
        </w:tc>
      </w:tr>
      <w:tr>
        <w:trPr>
          <w:trHeight w:val="346"/>
        </w:trPr>
        <w:tc>
          <w:tcPr>
            <w:tcW w:w="448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tables below set forth the cash flows of the VIE and subsidiaries of the VIE included in our consolidated statements of cash flows for 2023, 2024 and 2025:</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5"/>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40" w:type="dxa"/>
            <w:vAlign w:val="bottom"/>
          </w:tcPr>
          <w:p>
            <w:pPr>
              <w:spacing w:after="0"/>
              <w:rPr>
                <w:sz w:val="10"/>
                <w:szCs w:val="10"/>
                <w:color w:val="auto"/>
              </w:rPr>
            </w:pPr>
          </w:p>
        </w:tc>
        <w:tc>
          <w:tcPr>
            <w:tcW w:w="1380" w:type="dxa"/>
            <w:vAlign w:val="bottom"/>
            <w:gridSpan w:val="7"/>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28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8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center"/>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14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gridSpan w:val="10"/>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(253,015)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(255,783)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generated from investing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right"/>
              <w:ind w:right="219"/>
              <w:spacing w:after="0"/>
              <w:rPr>
                <w:sz w:val="20"/>
                <w:szCs w:val="20"/>
                <w:color w:val="auto"/>
              </w:rPr>
            </w:pPr>
            <w:r>
              <w:rPr>
                <w:rFonts w:ascii="Times New Roman" w:cs="Times New Roman" w:eastAsia="Times New Roman" w:hAnsi="Times New Roman"/>
                <w:sz w:val="18"/>
                <w:szCs w:val="18"/>
                <w:color w:val="auto"/>
              </w:rPr>
              <w:t>(8,694)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(48,832)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68,894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(48,832)</w:t>
            </w:r>
          </w:p>
        </w:tc>
        <w:tc>
          <w:tcPr>
            <w:tcW w:w="0" w:type="dxa"/>
            <w:vAlign w:val="bottom"/>
          </w:tcPr>
          <w:p>
            <w:pPr>
              <w:spacing w:after="0"/>
              <w:rPr>
                <w:sz w:val="1"/>
                <w:szCs w:val="1"/>
                <w:color w:val="auto"/>
              </w:rPr>
            </w:pPr>
          </w:p>
        </w:tc>
      </w:tr>
      <w:tr>
        <w:trPr>
          <w:trHeight w:val="392"/>
        </w:trPr>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6"/>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40" w:type="dxa"/>
            <w:vAlign w:val="bottom"/>
          </w:tcPr>
          <w:p>
            <w:pPr>
              <w:spacing w:after="0"/>
              <w:rPr>
                <w:sz w:val="10"/>
                <w:szCs w:val="10"/>
                <w:color w:val="auto"/>
              </w:rPr>
            </w:pPr>
          </w:p>
        </w:tc>
        <w:tc>
          <w:tcPr>
            <w:tcW w:w="1000" w:type="dxa"/>
            <w:vAlign w:val="bottom"/>
            <w:gridSpan w:val="4"/>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0"/>
                <w:szCs w:val="10"/>
                <w:color w:val="auto"/>
              </w:rPr>
            </w:pPr>
          </w:p>
        </w:tc>
        <w:tc>
          <w:tcPr>
            <w:tcW w:w="1060" w:type="dxa"/>
            <w:vAlign w:val="bottom"/>
            <w:gridSpan w:val="5"/>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0" w:type="dxa"/>
            <w:vAlign w:val="bottom"/>
          </w:tcPr>
          <w:p>
            <w:pPr>
              <w:spacing w:after="0"/>
              <w:rPr>
                <w:sz w:val="10"/>
                <w:szCs w:val="10"/>
                <w:color w:val="auto"/>
              </w:rPr>
            </w:pPr>
          </w:p>
        </w:tc>
        <w:tc>
          <w:tcPr>
            <w:tcW w:w="6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(used in) operating activities</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68,290</w:t>
            </w:r>
          </w:p>
        </w:tc>
        <w:tc>
          <w:tcPr>
            <w:tcW w:w="2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(160,551)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(92,261)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18"/>
                <w:szCs w:val="18"/>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(3,226)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(4,412)</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92"/>
        </w:trPr>
        <w:tc>
          <w:tcPr>
            <w:tcW w:w="4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94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Non- VIE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(113,670)</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(28,443)</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(1,707)</w:t>
            </w: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(4,391)</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1,900</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typical structure of cash flows through our organization is as follows: (i) we transfer funds to our WFOE through either capital contributions or loans from our Hong Kong subsidiary, BR Hong Kong Limited; (ii) our WFOE makes loans to the VIE, Burning Rock (Beijing) Biotechnology Co. Ltd.; (iii) the VIE and its subsidiaries receive funds generated from sales of products and/or services to third party customers; and (iv) when the VIE intends to settle any amounts owed to us under a series of contractual arrangement (the “VIE Agreements”), the VIE will pay service fees to our WFOE pursuant to the Exclusive Business Cooperation Agreement, and our WFOE will transfer funds to BR Hong Kong Limited, which in turn will transfer funds to us, all through distributions, dividends or repayment of shareholder loans. As of the date of this annual report, none of our PRC subsidiaries nor VIE has declared or paid any dividends or made any distributions to their respective holding companies, including Burning Rock Biotech Limited, nor does any of them have intention to do so. As of the date of this annual report, Burning Rock has not declared any dividend and does not have a plan to declare a dividend to its shareholders. Nevertheless, cash transfers have been made to date between Burning Rock, our subsidiaries and the VIE and its subsidiaries and such cash transfers have been made both in the direction to the VIE and from the VIE to our WFOE as of the date of annual report. We currently do not have cash management policies that dictate when or how funds are transferred between us, our subsidiaries and the VIE and its subsidiaries. In practice, we estimate and allocate funds to our WFOE and the VIE and the VIE’s subsidiaries based on their respective available cash balances and forecasted cash requirements.</w:t>
      </w:r>
    </w:p>
    <w:p>
      <w:pPr>
        <w:spacing w:after="0" w:line="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limitations on foreign exchange and our ability to transfer cash among us, our subsidiaries (including our WFOE) and the VIE and the VIE’s subsidies, and to transfer funds across borders and to the U.S. investors. There is no assurance that the PRC government will not intervene or impose restrictions on the ability of us, our subsidiaries and the VIE and its subsidiaries to transfer cash. Most of our cash is in Renminbi, and the PRC government could prevent the cash maintained from leaving the PRC, restrict deployment of the cash into the business of Burning Rock, our subsidiaries, the VIE and the VIE’s subsidiaries and restrict the ability to pay dividends to their respective shareholders, including our U.S. shareholders. Such restrictions are primarily related to the following aspects:</w:t>
      </w:r>
    </w:p>
    <w:p>
      <w:pPr>
        <w:spacing w:after="0" w:line="93" w:lineRule="exact"/>
        <w:rPr>
          <w:sz w:val="20"/>
          <w:szCs w:val="20"/>
          <w:color w:val="auto"/>
        </w:rPr>
      </w:pPr>
    </w:p>
    <w:p>
      <w:pPr>
        <w:ind w:left="540" w:hanging="424"/>
        <w:spacing w:after="0" w:line="254"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in China currently permit payment of dividends only out of accumulated profits as determined in accordance with accounting standards and regulations in China. PRC regulations also require our PRC subsidiaries to set aside at least 10% of their after-tax profits each year to fund the statutory reserve and restrict dividend and shareholder distributions until the statutory reserve reach 50% of their respective registered capital. Our PRC subsidiaries may at their discretion allocate a portion of their after-tax profits to staff welfare and bonus funds in accordance with relevant PRC rules and regulations. These reserve funds and staff welfare and bonus funds cannot be distributed as cash dividends. As a result, our PRC subsidiaries are restricted in their ability to transfer a portion of their net assets to us in the form of dividends. Moreover, if the PRC subsidiaries incur debt on their own behalf in the future, the instruments governing the debt may restrict their ability to pay dividends or make other distributions to us;</w:t>
      </w:r>
    </w:p>
    <w:p>
      <w:pPr>
        <w:spacing w:after="0" w:line="97" w:lineRule="exact"/>
        <w:rPr>
          <w:rFonts w:ascii="Times New Roman" w:cs="Times New Roman" w:eastAsia="Times New Roman" w:hAnsi="Times New Roman"/>
          <w:sz w:val="18"/>
          <w:szCs w:val="18"/>
          <w:color w:val="auto"/>
        </w:rPr>
      </w:pPr>
    </w:p>
    <w:p>
      <w:pPr>
        <w:ind w:left="540" w:right="640" w:hanging="424"/>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PRC subsidiaries incurs debt on its own behalf in the future, the instruments governing the debt may restrict its ability to pay dividends or make other distributions to us; and</w:t>
      </w:r>
    </w:p>
    <w:p>
      <w:pPr>
        <w:sectPr>
          <w:pgSz w:w="11900" w:h="16838" w:orient="portrait"/>
          <w:cols w:equalWidth="0" w:num="1">
            <w:col w:w="11120"/>
          </w:cols>
          <w:pgMar w:left="320" w:top="482" w:right="459" w:bottom="1440" w:gutter="0" w:footer="0" w:header="0"/>
        </w:sectPr>
      </w:pP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20"/>
          </w:cols>
          <w:pgMar w:left="320" w:top="482"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5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PRC subsidiaries generate primarily all of their revenues in Renminbi, which is not freely convertible into other currencies. As a result, any restriction on currency exchange may limit the ability of our PRC subsidiaries to use their Renminbi revenues to pay dividends to us.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However, approval from or registration with appropriate governmental authorities or commercial banks authorized by such authorities is required where Renminbi is to be converted into foreign currency and remitted out of China to pay capital expenses, such as the repayment of loans denominated in foreign currencies.</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Historically, in response to the persistent capital outflow and the Renminbi’s depreciation against the U.S. dollar in 2016, the People’s Bank of China, or the PBOC, and the State Administration of Foreign Exchange, or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our PRC subsidiary’s dividends and other distributions may be subjected to tighter scrutiny. Furthermore, as the interpretation and implementation of these foreign exchange regulations has been constantly evolving, it is unclear how these regulations, and any future regulations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there are limitations on our ability to settle amounts owed by the VIE under the relevant VIE agreements to us. We are entitled to receive substantially all of the economic benefits of the VIE in consideration for the services provided by our WFOE, according to the VIE Agreements. However, the VIE agreements are not equivalent to equity ownership. For example, the contractually bound nominee shareholders of the VIE could potentially breach their contractual agreements with us by failing to fulfill their contractual obligations, failing to act in our interest, or acting to the detriment of our interest. Moreover, as these nominee shareholders, rather than our WFOE and us, are the actual shareholders of the VIE, we are unable to independently exercise any rights as a shareholder of the VIE and force the VIE to distribute its earnings to us. In addition, the legality or enforceability of the VIE agreements have never been tested in a court of law in China. If any relevant contractual provisions were to ultimately be held unenforceable by the PRC courts or other governmental authorities, such uncertainty could result in us facing a reduced ability or complete inability to receive the economic benefits of the business operations of the VIE and its subsidiaries. These restrictions and limitations could limit our ability to settle amounts owed under the VIE agreements and our subsidiaries’ ability to pay dividends.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cash flows that have occurred between our Company, our subsidiaries and the VIE and its subsidiaries are summarized as the following: the VIE generates and retains cash generated from operating activities and re-invests it in the business activities conducted by the VIE and its subsidiaries. Unrelated to those services as stipulated under the Exclusive Business Cooperation Agreement, the agreement that allows the Company to receive economic benefits from the VIE, our WFOE charges service fee to the VIE for certain operating expenses that it bears on behalf of the VIE for the business operations of the VIE and its subsidiaries. The service fee is determined at an amount subject to mutual negotiation and agreement between the WFOE and the VIE, and if both parties fail to reach such an agreement, our WFOE has the sole discretion to make the final determination. Our WFOE charged service fees of RMB77.2 million, RMB36.3 million and RMB34.9 million (US$5.0 million) to the VIE and received RMB284.5 million, RMB359.4 million and RMB276.2 million (US$39.5 million) of service fees from the VIE in 2023, 2024 and 2025, respectively. The Company transferred RMB109.5 million, RMB120.5 million and RMB146.5 million (US$20.9 million) of financing proceeds to our WFOE or its subsidiaries, which was then transferred to the VIE as advance payments during the same periods.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We may transfer cash proceeds raised from future overseas financing activities through our holding company, to our WFOE through capital contributions and shareholder loans. Our WFOE is expected to then transfer funds to the VIE and its subsidiaries to meet their capital needs.</w:t>
      </w:r>
    </w:p>
    <w:p>
      <w:pPr>
        <w:spacing w:after="0" w:line="14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contractual arrangements may not be as effective as direct ownership in providing us with control over the VIE, and we may incur substantial costs to enforce the terms of the arrangements. The VIE, its subsidiaries or shareholders could breach their contractual arrangements with us in ways including failing to fulfill their contractual obligations or taking other actions that are detrimental to our interests. If we had direct ownership of the VIE and its subsidiaries,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its subsidiaries and its shareholders of their obligations under the contracts to exercise any control over the VIE. The VIE’s shareholders may have actual or potential conflicts of interest with us, and may not act in the best interests of our company.</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shareholders may refuse to sign or breach, or cause the VIE to breach, or refuse to renew, the existing contractual arrangements we have with them and the VIE. If any dispute relating to these contracts arises, we will have to enforce our rights under these contracts through the operations of PRC law and arbitration, litigation and other legal proceedings and, therefore, will be subject to uncertainties in the PRC legal system. Therefore, our contractual arrangements may not be as effective in ensuring our control over the relevant portion of our business operations as direct ownership would be.</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Burning Rock and its investors may never directly hold equity interests in the businesses that are conducted by the VIE and its subsidiaries. Uncertainties in the PRC legal system could limit our ability to enforce these contractual arrangements, and these contractual arrangements have not been tested in a court of law. The legal environment in the PRC is not as developed as in other jurisdictions, such as the United States. As a result, uncertainties in the PRC legal system could limit the ability of Burning Rock, as a Cayman holding company, to enforce these contractual arrangements and doing so may be quite costly. There are also substantial uncertainties regarding the interpretation and application of current and future PRC laws, regulations and rules regarding the status of the rights of our Cayman Islands holding company with respect to its contractual arrangements with the VIE, its founders and owners. It is uncertain whether any new PRC laws or regulations relating to the VIE structures will be adopted or if adopted, what they would provide. If we, the VIE or its subsidiaries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 addition, Mr. Yusheng Han, our founder, chairman of the board of directors and chief executive officer held 72.7% of the equity interests in the VIE as of March 31, 2026. Mr. Han also held 55.0% of the aggregate voting power of our issued and outstanding share capital as of March 31, 2026 due to the disparate voting powers associated with our dual-class share structure. Accordingly, the enforceability of the various contracts described above by Burning Rock against the VIE is substantially dependent upon Mr. Han. If he fails to perform his obligations under the contractual arrangements, we could be unable to enforce the contractual arrangements that enable us to consolidate the VIE’s operations and financial results in our financial statements in accordance with U.S. GAAP as the primary beneficiary. If this happens, we would need to deconsolidate the VIE and its subsidiaries. The majority of our assets, including the necessary licenses to conduct business in China are held by the VIE and its subsidiaries. A significant part of our revenues is generated by the VIE and its subsidiaries. An event that results in the deconsolidation of the VIE would have a material effect on our operations and result in the value of the securities diminish substantially or even become worthless. For a detailed description of the risks associated with our corporate structure, please refer to risks disclosed under “—D. Risk Factors—Risks Related to Our Corporate Structure” in this annual report.</w:t>
      </w:r>
    </w:p>
    <w:p>
      <w:pPr>
        <w:spacing w:after="0" w:line="293" w:lineRule="exact"/>
        <w:rPr>
          <w:sz w:val="20"/>
          <w:szCs w:val="20"/>
          <w:color w:val="auto"/>
        </w:rPr>
      </w:pPr>
    </w:p>
    <w:p>
      <w:pPr>
        <w:ind w:left="340" w:hanging="224"/>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17" w:lineRule="exact"/>
        <w:rPr>
          <w:rFonts w:ascii="Times New Roman" w:cs="Times New Roman" w:eastAsia="Times New Roman" w:hAnsi="Times New Roman"/>
          <w:sz w:val="18"/>
          <w:szCs w:val="18"/>
          <w:b w:val="1"/>
          <w:bCs w:val="1"/>
          <w:color w:val="auto"/>
        </w:rPr>
      </w:pPr>
    </w:p>
    <w:p>
      <w:pPr>
        <w:ind w:left="560" w:right="8320" w:hanging="444"/>
        <w:spacing w:after="0" w:line="401" w:lineRule="auto"/>
        <w:tabs>
          <w:tab w:leader="none" w:pos="33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various changing business, competitive, economic, political and social conditions in China and worldwide.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35" w:lineRule="exact"/>
        <w:rPr>
          <w:sz w:val="20"/>
          <w:szCs w:val="20"/>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cancer diagnostics company with a limited operating history, which may make it difficult to evaluate our current business and predict our future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historically, and may not be able to achieve and maintain profitability.</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significant commercial market acceptance for our cancer therapy selection products and services, or any future products and services may harm our business and results of operations.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develop and commercialize our early cancer detection products, MRD products or new cancer therapy selection products on a timely basis, or at all.</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keep up with industry and technology developments in a timely and cost-effective manner, we may be unable to compete effectively and our business and prospects could suffer.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or services do not perform as expected, our operating results, reputation and business could suffer.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be sued for product liability or professional liability, we could face substantial liabilities that exceed our resources.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or develop relationships with hospitals and physicians, our results of operations and prospects could be adversely affected.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funding for our operations. If we cannot raise sufficient additional capital on acceptable terms, our business, financial condition and prospects may be adversely affected.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natural disasters, health epidemics, civil and social disruption and other outbreaks, which could significantly disrupt our operations.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revenues or achieve and sustain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growth or execute our strategies effectively may adversely affect our business and prospects.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Government Regulations</w:t>
      </w:r>
    </w:p>
    <w:p>
      <w:pPr>
        <w:spacing w:after="0" w:line="135" w:lineRule="exact"/>
        <w:rPr>
          <w:sz w:val="20"/>
          <w:szCs w:val="20"/>
          <w:color w:val="auto"/>
        </w:rPr>
      </w:pPr>
    </w:p>
    <w:p>
      <w:pPr>
        <w:ind w:left="1080" w:right="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legal and regulatory requirements in China for our NGS-based products and services. Any lack of requisite certificates, licenses or permits applicable to our business may have an adverse impact on our business, financial condition and results of operations.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320" w:top="482" w:right="5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existing or future laws and regulations related to the management of human genetic resources in China could lead to government enforcement actions, which could include civil or criminal fines or penalties, private litigation, other liabilities, and/or adverse publicity. Compliance or the failure to comply with such laws could increase the costs of, limit and cause significant delay in our clinical studies and research and development activities, and could otherwise materially and adversely affect our operating results, business and prospects.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135" w:lineRule="exact"/>
        <w:rPr>
          <w:sz w:val="20"/>
          <w:szCs w:val="20"/>
          <w:color w:val="auto"/>
        </w:rPr>
      </w:pPr>
    </w:p>
    <w:p>
      <w:pPr>
        <w:ind w:left="1080" w:right="2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with the VIE and its shareholders may not be as effective in providing operational control or enabling us to derive economic benefits as a direct ownership of a controlling equity interest would be.</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ability to use and enjoy assets held by the VIE that are critical to the operation of our business if the VIE declares bankruptcy or becomes subject to a dissolution or liquidation proceeding.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the PRC</w:t>
      </w:r>
    </w:p>
    <w:p>
      <w:pPr>
        <w:spacing w:after="0" w:line="135" w:lineRule="exact"/>
        <w:rPr>
          <w:sz w:val="20"/>
          <w:szCs w:val="20"/>
          <w:color w:val="auto"/>
        </w:rPr>
      </w:pPr>
    </w:p>
    <w:p>
      <w:pPr>
        <w:ind w:left="1080" w:right="32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85"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many of the economic and political risks associated with emerging markets due to our operation in China. Adverse changes in the Chinese or global economic, political and social conditions as well as government policies could adversely affect our business and prospects.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global geopolitical tension, particularly with regard to Sino-U.S. political and economic relations, may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regarding the interpretation and enforcement of PRC laws, rules and regulations.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our current auditor. The delisting of the ADSs, or the threat of their being delisted, may materially and adversely affect the value of your investment.</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Hong Kong</w:t>
      </w:r>
    </w:p>
    <w:p>
      <w:pPr>
        <w:spacing w:after="0" w:line="13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political risks associated with having business connection with Hong Kong.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ADSs</w:t>
      </w:r>
    </w:p>
    <w:p>
      <w:pPr>
        <w:spacing w:after="0" w:line="13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ADSs has been and may continue to be volatile, which could result in substantial losses to investors.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the applicable listing requirements, Nasdaq may delist our ADSs from trading on its exchange in which case the liquidity and market price of our ADSs could decline and our ability to raise additional capital would be adversely affected.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of substantial amounts of ADSs could adversely affect their market price.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A ordinary shares and the ADSs may view as beneficial.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cancer diagnostics company with a limited operating history, which may make it difficult to evaluate our current business and predict our future performance.</w:t>
      </w:r>
    </w:p>
    <w:p>
      <w:pPr>
        <w:spacing w:after="0" w:line="51" w:lineRule="exact"/>
        <w:rPr>
          <w:sz w:val="20"/>
          <w:szCs w:val="20"/>
          <w:color w:val="auto"/>
        </w:rPr>
      </w:pPr>
    </w:p>
    <w:p>
      <w:pPr>
        <w:ind w:left="120" w:right="260" w:firstLine="440"/>
        <w:spacing w:after="0" w:line="230" w:lineRule="auto"/>
        <w:rPr>
          <w:sz w:val="20"/>
          <w:szCs w:val="20"/>
          <w:color w:val="auto"/>
        </w:rPr>
      </w:pPr>
      <w:r>
        <w:rPr>
          <w:rFonts w:ascii="Times New Roman" w:cs="Times New Roman" w:eastAsia="Times New Roman" w:hAnsi="Times New Roman"/>
          <w:sz w:val="18"/>
          <w:szCs w:val="18"/>
          <w:color w:val="auto"/>
        </w:rPr>
        <w:t>We commercially launched our first cancer therapy selection test in 2014 and started generating revenues in 2014. We launched our first MRD product,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previously known as brPROPHET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March 2022. Our limited operating history may make it difficult to evaluate our current business and predict our future performance. Any assessment of our profitability or prediction about our future success or viability is subject to significant uncertainty.</w:t>
      </w:r>
    </w:p>
    <w:p>
      <w:pPr>
        <w:spacing w:after="0" w:line="19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China’s NGS-based cancer therapy selection market is still in its early stage of development and rapidly evolving, and companies operating in this industry face a variety of risks. We may not have sufficient experience or resources to address risks frequently encountered in this industry, which include, among other things, our potential failure to:</w:t>
      </w:r>
    </w:p>
    <w:p>
      <w:pPr>
        <w:spacing w:after="0" w:line="81" w:lineRule="exact"/>
        <w:rPr>
          <w:sz w:val="20"/>
          <w:szCs w:val="20"/>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retain customers and increase adoption of our cancer therapy selection products and services by hospitals, physicians, patients, pharmaceutical companies and others in the medical community;</w:t>
      </w:r>
    </w:p>
    <w:p>
      <w:pPr>
        <w:spacing w:after="0" w:line="67" w:lineRule="exact"/>
        <w:rPr>
          <w:rFonts w:ascii="Times New Roman" w:cs="Times New Roman" w:eastAsia="Times New Roman" w:hAnsi="Times New Roman"/>
          <w:sz w:val="18"/>
          <w:szCs w:val="18"/>
          <w:color w:val="auto"/>
        </w:rPr>
      </w:pPr>
    </w:p>
    <w:p>
      <w:pPr>
        <w:ind w:left="1080" w:right="9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respond to changing market conditions and keep up with evolving industry and technological standards and regulatory developments;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the regulatory approvals required for us to further market and sell our cancer therapy selection products and services and commercialize our early cancer detection products and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relationships with our suppliers, customers and research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proprietary technologies and intellectual property rights;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train, motivate and retain research and development and other qualified personnel.</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we are unsuccessful in addressing any one or more of these risks, our business, financial condition and results of operations could be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historically, and may not be able to achieve and maintain profitability.</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incurred net losses. In 2023, 2024 and 2025, we incurred net loss of RMB653.7 million, RMB346.6 million and RMB55.3 million (US$7.9 million), respectively. To date, we have financed our operations principally from revenue generated from operations, proceeds from our initial public offering and concurrent private placement and equity contributions from our shareholders.</w:t>
      </w:r>
    </w:p>
    <w:p>
      <w:pPr>
        <w:spacing w:after="0" w:line="176"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invested and expect to continue to invest significantly in the research, development, and sales and marketing of our products. As such, we may continue to incur losses in the future. We cannot predict the extent of these future losses, or when we may achieve profitability, if at all. If we are unable to generate sufficient revenue from our business and control our costs and expenses to achieve and maintain profitability, the value of your investment in us could be negatively affected.</w:t>
      </w:r>
    </w:p>
    <w:p>
      <w:pPr>
        <w:spacing w:after="0" w:line="284" w:lineRule="exact"/>
        <w:rPr>
          <w:sz w:val="20"/>
          <w:szCs w:val="20"/>
          <w:color w:val="auto"/>
        </w:rPr>
      </w:pPr>
    </w:p>
    <w:p>
      <w:pPr>
        <w:jc w:val="both"/>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significant commercial market acceptance for our cancer therapy selection products and services, or any future products and services may harm our business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cancer therapy selection products and services contributed substantially all of our revenues for 2023, 2024 and 2025. We are in the process of developing and commercializing MRD and early cancer detection products, contribution of which to our revenues increased over the past few years. We expect that our cancer therapy selection tests will continue to contribute to a meaningful portion of our revenues in the foreseeable future. Our ability to execute our growth strategy and become profitable will therefore depend upon the continued and further adoption of our cancer therapy selection products and services by hospitals and patients. Continued adoption and use of these products and services will depend on several factors, including, among others:</w:t>
      </w:r>
    </w:p>
    <w:p>
      <w:pPr>
        <w:spacing w:after="0" w:line="93" w:lineRule="exact"/>
        <w:rPr>
          <w:sz w:val="20"/>
          <w:szCs w:val="20"/>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among the medical community the clinical utility, superiority and the benefits of our cancer therapy selection products and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cancer therapy selection technologies through clinical research and accompanying publications;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approval by the NMPA for our additional cancer therapy selection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our cancer therapy selection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laboratory certification, accreditation and regulatory approvals, including the NCCL PCR clinical test laboratory certificate, the NCCL NGS laboratory certificate, the CAP accreditation, the CLIA certification, and complete required inspections;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publicity regarding our or our competitors’ tests and technologies resulting from defects or errors.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our cancer therapy selection products and services will continue to maintain or gain market acceptance, and any failure to do so would harm our business and results of operations.</w:t>
      </w:r>
    </w:p>
    <w:p>
      <w:pPr>
        <w:spacing w:after="0" w:line="26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develop and commercialize our early cancer detection products, MRD products or new cancer therapy selection products on a timely basis, or at all.</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and commercializing early cancer detection products and MRD products and may develop and commercialize new cancer therapy selection products from time to time in the future. The development of these products is a lengthy and complex process. New products may take time to commercialize, and their launch could be delayed or may not be successful.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product development process involves various risks, and we may not be able to develop and commercialize new early cancer detection products, MRD products or cancer therapy selection products on a timely basis, or at all. A product candidate that appears promising in the early phases of development may fail to reach the market for a number of reasons. For example:</w:t>
      </w:r>
    </w:p>
    <w:p>
      <w:pPr>
        <w:spacing w:after="0" w:line="81" w:lineRule="exact"/>
        <w:rPr>
          <w:sz w:val="20"/>
          <w:szCs w:val="20"/>
          <w:color w:val="auto"/>
        </w:rPr>
      </w:pPr>
    </w:p>
    <w:p>
      <w:pPr>
        <w:ind w:left="1080" w:right="2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to demonstrate clinical utility, or the development process may produce negative or inconclusive results, and we may decide, or regulators may require us to conduct additional clinical trials or we may decide to abandon our development programs;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or third-party clinical investigators, medical institutions and contract research organizations, may fail to comply with their contractual duties or obligations or meet expected deadlines, and if the quality, completeness or accuracy of the clinical data they obtain are compromised due to any failure to adhere to our clinical protocols or for other reasons, our clinical trials may have to be extended, delayed or terminated;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approvals for our product candidates from relevant regulatory authorities;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additional data and insights from our existing products to advance the research and development of new products as quickly, or at all.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our competitors may develop and commercialize competing products faster than we are able to, in which case our results of operations could be adversely affected.</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up with industry and technology developments in a timely and cost-effective manner, we may be unable to compete effectively and our business and prospects could suffer.</w:t>
      </w:r>
    </w:p>
    <w:p>
      <w:pPr>
        <w:spacing w:after="0" w:line="5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China’s NGS-based cancer therapy selection market is characterized by rapid changes, including technological and scientific breakthroughs, increasing amounts of data, frequent introductions of new tests, constant emergence of alternative diagnostic methods, and evolving industry standards. If we are not able to keep pace with these advances and increased customer expectations as a result of these advances and capture new market opportunities that develop as a result of these advances, our proprietary technologies could be rendered obsolete, our existing products and services and products and services we are developing could be rendered less clinically effective, and our future operations and prospects could suffer. To remain competitive, we must continuously upgrade our existing products and services and launch new products and services, to keep pace with these developments. We cannot assure you that these efforts will be successful.</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must expend significant resources in order to continuously upgrade our existing products and services or launch new ones to keep pace with industry and technological advances. We may never realize a return on investment on these efforts, especially if the improved or new products and services fail to perform as expected, in which case our business, financial condition and results of operations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or services do not perform as expected, our operating results, reputation and business could suffer.</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success depends on the market confidence that we can provide reliable, high-quality products and services, including those for cancer therapy selection, MRD and early cancer detection, that will provide physicians with real-time clinically actionable diagnostic information. However, there is no assurance that our current and future products and services, including our MRD and early cancer detection tests currently under development, will consistently perform as expected, if at all. Our tests may fail to accurately detect gene variants or incompletely or incorrectly identify the significance of genomic alterations, or contain other errors or mistakes due to a variety of reasons (such as malfunction of our laboratory equipment and degraded liquid biopsy or tissue samples provided by our delivery service providers), which could either delay treatments or incur unnecessary medical expenses to people on whom the tests are performed. In addition, inaccurate results or misunderstandings of, or inappropriate reliance on, the diagnostic information our current and future tests provide could lead to, or be associated with, side effects or adverse events in patients who use our tests, including treatment-related death, and could lead to termination of our services or claims against us. Any such inaccurate diagnostic results, or perception thereof, could further subject us to claims or lawsuits brought by people taking our tests and their families. Any product defects or other failure of our existing products and products currently under development may result in adverse or negative publicity, lost revenue, rising insurance premium, and significant warranty and other expenses and could have a material adverse impact on our operation, business prospects, financial condition and results of operations.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could face product liability claims should someone allege that our products or services identified inaccurate or incomplete information regarding the genomic alteration of the tumor or malignancy analyzed, reported inaccurate or incomplete information concerning the available therapies for a certain type of cancer or otherwise failed to perform as designed. A claimant could allege that our test results caused unnecessary treatment or other costs or resulted in the patient missing the best opportunity or timing for treatment. A patient could also allege other mental or physical injury or that our tests provided inaccurate or misleading information concerning the diagnosis, prognosis or recurrence of, or available therapies for, his or her cancer. We may also be subject to liability for errors in, a misunderstanding of or inappropriate reliance upon, the diagnostic information our tests provided. The tense physician-patient relationship in China could also expose us to an increased risk of potential liability claims. A product liability or professional liability claim could result in substantial damages and be costly and time-consuming for us to defend and could divert our management’s attention.</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Similar to other Chinese companies, we do not carry product liability or professional liability insurance. As the insurance industry in China is at a relatively preliminary stage of development compared to more developed markets such as the United States, insurance companies in China generally offer a limited selection of product liability and professional liability insurance policies and it is often difficult to secure suitable product liability and professional liability insurance coverage at reasonable rates in China. Any product liability or professional liability claim brought against us, with or without merit, could increase our insurance rates or prevent us from securing insurance coverage. Additionally, any product liability or professional liability lawsuit could damage our reputation, or cause our business partners to terminate existing agreements with us and seek other business partners, or cause us to lose our current or potential customers. Any of these developments could adversely impact our results of operations and business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or develop relationships with hospitals and physicians, our results of operations and prospects could be adversely affected.</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We collaborate with hospitals and physicians across China in many aspects of our business, and our success in part depends on our ability to maintain our relationships with our existing partner hospitals and physicians and continue to build new relationships with additional hospitals and physicians.</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Central laboratory collaboration</w:t>
      </w:r>
      <w:r>
        <w:rPr>
          <w:rFonts w:ascii="Times New Roman" w:cs="Times New Roman" w:eastAsia="Times New Roman" w:hAnsi="Times New Roman"/>
          <w:sz w:val="18"/>
          <w:szCs w:val="18"/>
          <w:color w:val="auto"/>
        </w:rPr>
        <w:t>. Currently, we primarily collaborate with hospitals and physicians under the central laboratory model,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patients’ treating physicians order our tests for the patients during the diagnostic process, have the patients’ liquid biopsy or tissue samples shipped to our laboratories for testing and then design treatment plans based on our test results. To generate demand, we will need to continue to educate physicians at hospitals on the clinical utility, benefits and value of our tests through clinical trials, published papers, presentations at scientific conferences and one-on-one education by our in-house sales force. We may need to hire additional sales and marketing, research and development and other personnel to support this process, as our central laboratory collaboration business grows. If physicians currently using our tests services stop ordering our tests or order fewer tests from us for any reason, or if we fail to convince physicians at new hospitals to order our tests, we will likely be unable to generate demand for our tests in sufficient volume for us to achieve profitability.</w:t>
      </w:r>
    </w:p>
    <w:p>
      <w:pPr>
        <w:spacing w:after="0" w:line="18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In-hospital collaboration</w:t>
      </w:r>
      <w:r>
        <w:rPr>
          <w:rFonts w:ascii="Times New Roman" w:cs="Times New Roman" w:eastAsia="Times New Roman" w:hAnsi="Times New Roman"/>
          <w:sz w:val="18"/>
          <w:szCs w:val="18"/>
          <w:color w:val="auto"/>
        </w:rPr>
        <w:t>. We are also actively expanding our collaboration with hospitals under the in-hospital model. Under this model,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with hospitals to establish in-hospital laboratories so that the partner hospitals can conduct cancer therapy selection tests on their own using our reagent kits. As of December 31, 2025, we had partnered with 94 hospitals under the in-hospital model. Any deterioration or termination of our relationships with these partner hospitals could result in temporary or permanent loss of our revenue.</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we will need to continue to advocate the clinical utility, benefits and value of our tests in order to enter into collaboration with additional hospitals under the in-hospital model. Even if we have convinced the new hospitals to partner with us, establishing in-hospital laboratories with hospitals in China involves a lengthy and costly process, including going through tender procedures, the outcome of which is subject to uncertainties, and complying with the respective hospitals’ operating protocols. If we fail to enter into collaboration with additional hospitals under the in-hospital model in a timely and cost-effective manner, or if due to regulatory change or any other reasons, our current partner hospitals terminate their current collaborations with us, our business and prospects could be adversely affected.</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Furthermore, depending on our partner hospitals’ clinical needs and budgets for cancer therapy selection products and services, our revenues from in-hospital business have fluctuated, and may continue to fluctuate from quarter to quarter.</w:t>
      </w:r>
    </w:p>
    <w:p>
      <w:pPr>
        <w:spacing w:after="0" w:line="158" w:lineRule="exact"/>
        <w:rPr>
          <w:sz w:val="20"/>
          <w:szCs w:val="20"/>
          <w:color w:val="auto"/>
        </w:rPr>
      </w:pPr>
    </w:p>
    <w:p>
      <w:pPr>
        <w:ind w:left="120" w:right="100" w:firstLine="440"/>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Clinical collaboration</w:t>
      </w:r>
      <w:r>
        <w:rPr>
          <w:rFonts w:ascii="Times New Roman" w:cs="Times New Roman" w:eastAsia="Times New Roman" w:hAnsi="Times New Roman"/>
          <w:sz w:val="18"/>
          <w:szCs w:val="18"/>
          <w:color w:val="auto"/>
        </w:rPr>
        <w:t>. We have obtained the NMPA approval for two of our NGS reagent kits and in the future we may from time to time seek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NMPA approval for additional products. In addition, we have one early cancer detection product,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Multi-Cancer Detection Blood Test, that has been granted Breakthrough Device Designation by both the FDA and the NMPA. The NMPA approval and FDA approval of this product involve, among other things, successful completion of clinical trials. Our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BCMatch Tissue Kit has entered the Priority Review Channel of the Center for Medical Device Evaluation (CMDE) under the NMPA. We may rely on our partner hospitals to obtain sufficient data and samples to cost-effectively and timely perform these clinical trials. If we fail to establish or maintain clinical collaboration with our partner hospitals, our business and results of operations may be harmed. If we fail to renew or otherwise maintain the NMPA approval for our products, our sale and use of these medical devices in China may be restricted, and our business and results of operation may be adversely affected.</w:t>
      </w:r>
    </w:p>
    <w:p>
      <w:pPr>
        <w:spacing w:after="0" w:line="304"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substantial funding for our operations. If we cannot raise sufficient additional capital on acceptable terms, our business, financial condition and prospects may be adversely affected.</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require substantial capital to fund our existing operations, commercialize new products, expand our business and pursue strategic investments.</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particular, we require substantial capital to:</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early cancer detection technologies and develop early cancer detection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products and services and address competitive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scientists and sales and marketing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acquire and improve operational, financial and management information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general and administrative expenses;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Based on our current business plan, we believe our cash and cash equivalents, together with our cash generated from financing activities will be sufficient to meet our current and anticipated needs for general corporate purposes for at least the next 12 months. If our available cash balances and current and anticipated cash flow from operations are insufficient to satisfy our liquidity requirements, in particular, for the development and commercialization of our products, we may seek to obtain further funding through public or private equity offerings, debt financings or other sources.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 financing may not be available to us on acceptable terms, or at all. If we fail to raise capital as and when needed it would have a negative impact on our financial condition and our ability to pursue our business strategy. In addition, if we raise funds by issuing debt securities or incurring additional borrowings, the terms of debt securities issued or borrowings could impose significant restrictions on our operations, and we may be unable to repay the indebtedness when due. If we raise funds by issuing equity securities, your investment in our company could be diluted.</w:t>
      </w:r>
    </w:p>
    <w:p>
      <w:pPr>
        <w:spacing w:after="0" w:line="284" w:lineRule="exact"/>
        <w:rPr>
          <w:sz w:val="20"/>
          <w:szCs w:val="20"/>
          <w:color w:val="auto"/>
        </w:rPr>
      </w:pPr>
    </w:p>
    <w:p>
      <w:pPr>
        <w:jc w:val="both"/>
        <w:ind w:left="120"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third-party suppliers and service providers for different aspects of our business. If these suppliers and service providers can no longer provide satisfactory products or services to us on commercially reasonable terms, our business and results of operations could be adversely affected.</w:t>
      </w:r>
    </w:p>
    <w:p>
      <w:pPr>
        <w:spacing w:after="0" w:line="2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depend on third parties for different aspects of our business, such as supplying sequencers, reagents and other laboratory equipment and materials, and collecting and delivering samples for our tests. Selecting, managing and supervising these third-party suppliers and service providers requires significant resources and expertise. Poor performance by these third parties, including their failure to provide services or products according to applicable legal and regulatory requirements, the terms of our contracts or otherwise below standard, could significantly and negatively affect the quality of our cancer therapy selection tests and damage our reputation. For example, we rely on third-party delivery service providers to transport liquid biopsy and tissue samples to our laboratory. Disruptions in such delivery services, whether due to labor disruptions, bad weather, natural disaster, terrorist acts or threats or for other reasons could adversely affect specimen integrity and our ability to process samples and conduct tests in a timely manner and to service our customers satisfactorily, and ultimately our reputation and our business. In addition, if we are unable to continue to obtain expedited delivery services on commercially reasonable terms, our operating results may be adversely affected.</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service or cooperative agreements we have with third-party suppliers and service providers are generally not on an exclusive basis. If these third parties do not continue to maintain or expand their cooperation with us, we would be required to seek new substitutes for these third-party material or service providers, which could disrupt our operations and adversely affect our results of operations.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or develop relationships with our research partners, the market adoption and endorsement of our products and services could suffer, which could in turn reduce our revenue prospects.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Currently, we have wide academic collaborations with oncology key opinion leaders, who conducted clinical trials and research studies on early cancer detection and cancer targeted therapies and immunotherapies using our products. We believe our relationships with oncology key opinion leaders, as well as the resulting peer-to-peer interaction they generated, have been instrumental in raising the awareness of our technology platform, endorsing the high quality of our R&amp;D and product development capabilities and driving adoption of our products. In addition, we collaborate with pharmaceutical companies who employ cancer therapy selection using our products and services to help develop new drugs for targeted therapies and immunotherapies on various types of cancers. We believe their rigorous standards for the consistency and accuracy of cancer therapy selection results provide validation and endorsement for our technology platform and our products.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with both key opinion leaders and pharmaceutical companies, including the type of biomarker support required and our ability to deliver it, pharmaceutical companies’ satisfaction with our products or services, and our ability to pass the periodic or random inspections of our pharmaceutical company partners, and other factors that may be beyond our control. Furthermore, our research partners may decide to decrease or discontinue their use of our products and services due to changes in their research focus; pharmaceutical companies may decide to cease or change their new drugs development plans due to various reasons, such as failures in their clinical trials, financial constraints, or utilization of internal testing resources or tests performed by other parties, or other circumstances outside of our control. We cannot assure you that such existing relationships will continue, or if we establish new relationships with other key opinion leaders and pharmaceutical companies, the resulting relationship will be successful or that academic research and clinical studies conducted as part of the collaborations will produce successful outcomes.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some of our laboratory equipment and supplies and may not be able to find replacements or immediately transition to alternative suppliers.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source sequencers, reagents and certain other laboratory supplies used in our laboratory operations from a limited number of suppliers. Our suppliers are typically trading companies that procure laboratory supplies from a variety of manufacturers. Our laboratory operations may be interrupted if we encounter delays or difficulties in securing these supplies, or if we become unable to procure supplies from any of these suppliers due to their lack of required licenses, permits or certifications. If we cannot timely obtain an acceptable substitute, our business, financial condition, results of operations and reputation could be adversely affected.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there are a number of replacement suppliers that are capable of supplying all of the sequencers, reagents and other laboratory supplies necessary for our laboratory operations. However, the use of laboratory equipment and supplies furnished by any replacement suppliers may require us to alter our laboratory operations. Transitioning to a new supplier may be time consuming and expensive, result in interruptions in our laboratory operations or require that we revalidate our cancer therapy selection test products and services. There can be no assurance that we will be able to bring the equipment and supplies supplied by these replacement suppliers online and revalidate them without experiencing interruptions in our workflow. In addition, there can be no assurance that replacement suppliers will meet our quality control and performance requirements. If we encounter delays or difficulties in securing, reconfiguring or revalidating the laboratory equipment and supplies we require for our laboratory operations, our business, financial condition, results of operations and reputation could be adversely affected.</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the demand for our current or future products and services, including ensuring that we have adequate capacity to meet increased demand, our business could suffer.</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our inception, we have experienced rapid growth, and we anticipate further growth in our business operations. Our growth could strain our organizational, administrative and operational infrastructure. As the sales volume of our products and services grows, we will face increased demands on our capacity and efficiency for sample intake, testing results analysis and other laboratory operations, quality control, customer service, and general workflow management processes.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maintain the quality and expected turnaround time of our tests and effectively meet increased demand, we must continue to improve our operational, financial and management controls and hire, train and manage additional qualified scientists, laboratory personnel and sales and marketing personnel. Failure to do so could adversely affect our business, financial condition and results of operations. For example, if we encounter difficulties in scaling our operations as a result of quality control and quality assurance issues, we will likely experience reduced sales of our cancer therapy selection tests, increased repair or re-engineering costs and increased expenses due to switching to alternate suppliers, any of which would adversely affect our results of operations.</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civil and social disruption and other outbreaks, which could significantly disrupt our operations.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are vulnerable to social and natural catastrophic events that are beyond our control, such as natural disasters, health epidemics, and other catastrophes, which may materially and adversely affect our business. For example, between 2020 and 2022, China and many other countries were affected by the widespread of COVID-19 and its variants. In an effort to control the spread this virus, the Chinese government imposed various restrictive measures, such as quarantines, travel restrictions and home office policies. In response to this pandemic, hospitals and physicians across China also focused their efforts on treating COVID-19 patients and prioritized resources toward containing the virus, resulting in many diagnostic procedures and cancer therapy selection testing being deferred. As a result, the demand for our products and services under both our central laboratory model and in-hospital model decreased and fluctuated from quarter to quarter, which adversely affected our business operations and financial performance in various periods between 2020 and 2022. Our business growth resumed as the COVID-19 impact started to lessen and the Chinese government significantly loosened its zero-COVID policy in December 2022. However, there is uncertainty as to when the Chinese economy and the pace of its growth will be able to fully recover to pre-COVID levels, and our business operation and financial performance may accordingly be affected by the post-COVID recovery of China’s overall economy.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there is also no assurance that a pandemic of similar severity or scale will not affect China in the future. The extent to which similar widespread epidemic in the future can impact our business, results of operations and financial condition will depend on many factors beyond our control, including the extent of future outbreak and resurgences of any infectious disease and its variants, vaccine distribution and other actions in response to such virus or to contain its impact. Our business, results of operations, financial conditions and prospects could be materially adversely affected to the extent similar epidemic harms the Chinese and global economy in general, and the trading price of our ADSs may be adversely affected. To the extent the outbreak of such health epidemics adversely affect our business, results of operations, financial conditions and prospects, they may also have the effect of heightening many of the other risks described in this section.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achieve and sustain profitability.</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With the development of NGS and cancer genotyping, China’s NGS-based cancer therapy selection market has become increasingly competitive, and we expect this competition to intensify further in the future. Our principal competition comes from other NGS-based cancer therapy selection companies in China. As we gradually commercialize our MRD products and cancer early detection products, we expect to continue facing competition from players in the relevant fields. Some of our existing and potential future competitors may have longer operating histories, larger customer bases, more sophisticated product portfolios, more expansive brand recognition and deeper market penetration, substantially greater financial, technological and research and development resources and selling and marketing capabilities, and more favorable terms from suppliers.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adopt more aggressive pricing policies for their tests, secure supplies from vendors on more favorable terms or devote substantially more resources to infrastructure and system development. In addition, competitors may be acquired by, receive investments from or enter into other commercial relationships with larger, well-established and well-financed companies as the use of cancer therapy selection increases. In addition, as we expand into international markets, we could face competition from NGS-based cancer therapy selection companies in our target markets.</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compete successfully with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or execute our strategies effectively may adversely affect our business and prospects.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are not successful in managing our growth or executing our strategies effectively, our business, results of operations, financial condition and future growth may be adversely affected. For example, as part of our growth strategies, we plan to continue our research and development in early cancer detection, which is technically challenging. In addition, we will continue to implement the strategy to expand our collaboration with partner hospitals under the in-hospital model. As China is a large and diverse market, industry trends and clinical demands may vary significantly by regions. Our experience in collaborations with partner hospitals in major cities under the in-hospital model may not be applicable in hospitals located in other cities. As a result, we may not be able to leverage our experience to expand into local or regional hospitals in other parts of China. Any failure to effectively manage our growth or execute our strategies, including our early cancer detection research and development and our collaboration with hospitals under the in-hospital model, could have an adverse impact on our business and prospects.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promote our brand and protect our reputation. If we are unable to effectively promote our brand, our business may be adversely affected.</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enhancing and maintaining awareness of our “Burning Rock” brand is critical to achieving widespread acceptance of our NGS-based products or services, gaining trust for our testing services and attracting new customers. Successful promotion of our brand depends largely on the quality of the products and services we offer and the effectiveness of our branding and marketing efforts. Currently, we rely primarily on our own sales and marketing team to promote our brand and our NGS-based products and testing services. We expect that our branding and marketing efforts will require us to incur significant expenses and devote substantial resources. We cannot guarantee that our sales and marketing efforts will be successful.</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Brand promotion activities may not lead to increased revenue in the near term, and, even if they do, any revenue increases may not offset the expenses we incur to promote our brand. Our failure to establish and promote our brand and any damage to our reputation will hinder our growth. In addition, our reputation may be undermined as a result of the negative publicity about our company or our industry in general. If NGS-based products or services provided by us or our competitors do not perform to customers’ expectations, it may result in lower confidence in cancer therapy selection in general, which may in turn impair our operating results and our reputation.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our senior management and other key employees could adversely affect our business.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is significantly dependent upon the continued service of our senior management, such as Mr. Yusheng Han, our chairman of the board of directors and chief executive officer. If we lose their services, we may not be able to locate suitable or qualified replacements, and we may incur additional expenses to recruit new senior management team members, which could severely disrupt our business and growth. In addition, if these personnel join our competitors or form a competing business, our business and prospects could be adversely affected.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and laboratory operations depend upon our ability to attract and retain highly skilled scientists and technicians. We are also in strong need of sales and marketing personnel with the relevant technology background and industry expertise in order to effectively conduct our sales and marketing activities and expand our hospital network. We face intense competition for qualified individuals from numerous biotechnology and pharmaceutical companies, universities, governmental entities and other research institutions. We may be unable to attract and retain suitably qualified individuals, and our failure to do so could adversely affect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Misconduct of our employees, consultants or other business partners could engage in misconduct that adversely affects our business.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employees, consultants and other business partners could engage in misconduct that adversely affects our business. For example, we are subject to a number of obligations and standards arising from our business relationships with our customers. The violation of these obligations and standards by any of our employees, consultants and other business partners would adversely affect our relationship with our customers. The misconduct of our employees, consultants and other business partners, including the improper use or disclosure of confidential information and improper speech and behavior in the public domain (especially when they identify us in such speech or behavior), could cause harm to our reputation, financial position and current and future business relationships. Detecting or deterring employee misconduct is not always possible, and the extensive precautions we take to detect and prevent this activity may not be effective in all cases. If our employees, consultants and other business partners were to engage in misconduct or were to be accused of such misconduct, our business and our reputation could be adversely affected.</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central laboratory fails to comply with applicable laboratory licensing requirements, or become damaged or inoperable, our ability to perform tests may be jeopardized.</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currently derive a substantial part of our revenue from tests performed at our central laboratory located in Guangzhou, Guangdong Province, China. Currently, our central laboratory holds an NGS laboratory certificate, originally issued by Guangdong Branch of the NCCL in May 2018. This certificate was last renewed in June 2024 and will remain valid for five years. The renewal of this certificate is conditioned upon additional inspection on a regular and irregular basis. If we lose or fail to renew such certificate, or are unable to obtain other certificate required for the operations of our central laboratory, in a timely manner, or at all, whether as a result of revocation, suspension, limitation or any other external factors beyond our control, we would no longer be able to perform our tests at our central laboratory, which could have an adverse effect on our business,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we voluntarily obtained from the CLIA the certification to perform laboratory examinations and procedures on human specimens, which was last renewed in November 2024 and will remain valid until November 2026. We also voluntarily obtained from the CAP the accreditation for our central laboratory, which was last renewed in January 2026 and will remain valid until January 2028. To maintain the CLIA certification and the CAP accreditation, our central laboratory is subject to survey and unannounced inspection every two years, as well as additional random inspections. There is no assurance that we could maintain or successfully renew the CLIA certification and the CAP accreditation. Loss of, or failure to renew, our CLIA certificate or CAP accreditation may have an adverse effect on our business and reputation.</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Moreover, our laboratory facilities and equipment could be harmed or rendered inoperable by natural or man-made disasters, including war, fire, earthquake, power loss, communications failure or terrorism, which may render it difficult or impossible for us to perform tests for some period of time. We do not carry any insurance for damage to our property and the disruption of our business. Damages to, or interruptions in the operations of, our laboratory and other facilities could have an adverse impact on our results of operations and financial condition. Furthermore, our laboratory facilities and equipment could be unavailable or costly and time-consuming to repair or replace. It would be difficult, time-consuming and expensive to rebuild our laboratory facilities, to locate and qualify a new facility or license or transfer our proprietary technology to a third-party to conduct our tests at their facilities, particularly in light of licensure and accreditation requirements. Even in the unlikely event we are able to find a third party with such qualifications to enable us to conduct our tests, we may be unable to negotiate commercially reasonable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depend on information technology systems for significant elements of our operations. We have also installed a number of enterprise software systems that affect a broad range of business processes and functional areas, including for example, systems handling human resources, financial controls and reporting, contract management, regulatory compliance, and other infrastructure operations. These information technology systems support a variety of functions, including laboratory operations, test validation, sample tracking, quality control, customer service support, billing and reimbursement, research and development activities, scientific and medical curation, and general administrative activities.</w:t>
      </w:r>
    </w:p>
    <w:p>
      <w:pPr>
        <w:spacing w:after="0" w:line="183"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Information technology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third-party service providers could prevent us from conducting our daily operations. Any disruption or loss of information technology systems on which critical aspects of our operations depend could have an adverse effect on our business.</w:t>
      </w:r>
    </w:p>
    <w:p>
      <w:pPr>
        <w:spacing w:after="0" w:line="27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threats to our information technology infrastructure and unauthorized use of data by third parties could expose us to liability or damage our reputation and business.</w:t>
      </w:r>
    </w:p>
    <w:p>
      <w:pPr>
        <w:spacing w:after="0" w:line="5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information technology systems store and process a variety of sensitive data, including our proprietary business information, as well as patients’ personal data such as health information and personally identifiable information.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It is essential that our information technology infrastructure remains secure and is perceived by hospitals, patients and our research partners to be secure. Despite our security measures, we may face cyber-attacks that attempt to penetrate our network security, sabotage or otherwise disable our research, tests and services, misappropriate our proprietary business information or cause interruptions of our internal systems and services. Any cyber-attacks could negatively affect our reputation, damage our network infrastructure and our ability to deploy our products and services, harm our relationship with customers and research partners, and expose us to significant financial liabilities.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Moreover, we may not be able to prevent third parties from illegally obtaining and misappropriating personal data of the tested patients that we collect. Concerns about data leakage or unauthorized use of data by third parties, even if unfounded, could damage our reputation and negatively affect our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protect our intellectual property, our business and competitive position would be harmed.</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rely on patents, software copyrights, trademarks, trade secrets and other intellectual property rights protection and contractual restrictions to protect our products, services and technologies.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registered a number of patents and trademarks in China and have applied for additional patent registrations in China, Hong Kong, the U.S., the European Union and Japan. However, such protection is limited and may not adequately protect our rights. In the past, some of the trademark applications for the labels we use in our products were rejected by the Trademark Office of China National Intellectual Property Administration (the “Trademark Office”) as they have been preemptively registered by an independent third party. In July 2022, we filed a request for invalidation against these preemptively registered trademarks. In November 2023 and January 2024, the relevant authority ruled in our favor and invalidated the preemptively registered trademarks. The decisions were deemed final as there were no appeals made by the independent third party. In March 2023, we filed additional requests for the review of our trademark applications that had been previously rejected by the Trademark Office due to two preemptively registered trademarks or other grounds. In March 2024, the Trademark Office reversed the refusal and granted preliminary approval to these trademarks. In June 2024, we successfully registered these trademarks. In addition, in April 2024, we received a Notice of Invalidation Response concerning one of our registered trademarks. The applicant had lodged a formal request for invalidating this trademark. In response, we prepared and submitted a well-targeted invalidation defense in May 2024. Subsequently, in September 2024, the Trademark Office issued a ruling decreeing that our registered trademark continues to remain valid.</w:t>
      </w:r>
    </w:p>
    <w:p>
      <w:pPr>
        <w:spacing w:after="0" w:line="19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also rely on trade secrets and confidentiality agreements to protect our unpatented know-how, technology and other proprietary information. Monitoring unauthorized disclosure and uses of our trade secrets is difficult, and we do not know whether the steps we have taken to prevent such disclosure and uses are, or will be, adequate. Our contractual agreements may be breached by our counterparties, and there may not be adequate remedies available to us for any such breach. In addition, our trade secrets may be leaked or otherwise become available to, or be independently discovered by, our competitors, and we would have no right to prevent others from using them. Moreover, if a party having an agreement with us has an overlapping or conflicting obligation to a third party, our rights in and to certain intellectual property could be undermined.</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Furthermore, competitors could purchase our products and attempt to replicate and/or improve some or all of the competitive advantages we derive from our development efforts, willfully infringe our intellectual property rights, and design their devices and tests around our protected technologies or develop their own competitive technologies that fall outside of our intellectual property rights.</w:t>
      </w:r>
    </w:p>
    <w:p>
      <w:pPr>
        <w:spacing w:after="0" w:line="6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resort to litigation to enforce or protect our intellectual property rights, such litigation could result in substantial costs and a diversion of our managerial and financial resources, while the outcome would be unpredictable and any remedy may be inadequate. If we are unable to effectively protect our intellectual property, our business and competitive position would be harmed.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or misappropriation claims by third parties, which may force us to incur substantial legal expenses and, if determined adversely against us, could disrupt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our products, tests and technologies do not or will not infringe patents, software copyrights, trademarks or other intellectual property rights held by third parties. From time to time, we may be subject to legal proceedings and claims alleging infringement of patents, trademarks or copyrights, or misappropriation of creative ideas or formats, or other infringement of proprietary intellectual property rights. Any such proceedings and claims could result in significant costs to us and divert the time and attention of our management and technical personnel from the operation of our business. These types of claims could also potentially adversely impact our reputation and our ability to conduct business and raise capital, even if we are ultimately absolved of all liability. Moreover, third parties making claims against us may be able to obtain injunctive relief against us, which could block our ability to offer one or more devices or tests and could result in a substantial award of damages against us. In addition, since we sometimes indemnify our customers or collaboration partners, we may have additional liability in connection with any infringement or alleged infringement of third party intellectual property. Intellectual property litigation can be very expensive, and we may not have the financial means to defend ourselves or our customers or collaboration partners.</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pending applications, some of which are unknown to us, that may result in issued patents upon which our products, tests or proprietary technologies may infringe. Moreover, we may fail to identify issued patents of relevance or incorrectly conclude that an issued patent is invalid or not infringed by our technology or any of our devices or tests. There is a substantial amount of litigation involving patents and other intellectual property rights in our industry. If a third-party claims that we infringe upon a third-party’s intellectual property rights, we may have to:</w:t>
      </w:r>
    </w:p>
    <w:p>
      <w:pPr>
        <w:spacing w:after="0" w:line="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licenses that may not be available on commercially reasonable terms, if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any product alleged or held to infringe, or redesign our products or processes to avoid potential assertion of infringement;</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in exceptional cases, treble damages and attorneys’ fees, if a court decides that the device, test or proprietary technology at issue infringes upon or violates the third-party’s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fees or grant cross-licenses to our technology;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our financial and management resources.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genomic information could reduce demand for our products and services.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Cancer therapy selection and cancer early detection, especially cancer genotyping, have raised ethical, legal and social issues regarding privacy and the appropriate uses of the resulting information. Government authorities could, for social or other purposes, limit or regulate the use of genomic information or prohibit testing for genomic predisposition to certain conditions, particularly for those that have no known cure. Similarly, these concerns may cause patients to refuse to use, or physicians to be reluctant to order, cancer therapy selection and cancer early detection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be unable to accurately report our results of operations or prevent fraud, and investor confidence and the market price of our ADSs may be materially and adversely affected.</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reporting obligations under the U.S. securities laws. The SEC, as required under Section 404 of the Sarbanes-Oxley Act of 2002, has adopted rules requiring a public company to include a report by management on the effectiveness of the Company’s internal control over financial reporting in its annual report on Form 20-F. We have incurred and will continue to incur additional costs and use additional management and other resources to comply with Section 404 of the Sarbanes-Oxley Act of 2002 and other requirements going forward. In addition, if we become a “large accelerated filer” or an “accelerated filer,” as defined in the Exchange Act, we will also be subject to the requirement that an independent registered public accounting firm must issue an attestation report on the effectiveness of our internal control over financial reporting, which may further subject us to additional reporting obligations.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reported in the annual report on 20-F, our management assessed the effectiveness of our internal control over financial reporting as of December 31, 2025 using criteria established in Internal Control—Integrated Framework (2013) issued by the Committee of Sponsoring Organizations of the Treadway Commission. Based on this assessment, our management has concluded that our internal control over financial reporting was effective as of December 31, 2025. However, if we fail to maintain an effective internal control environment for our financial reporting in the future, our management may not be able to conclude that we have effective internal control over financial reporting in accordance with the Sarbanes-Oxley Act of 2002. Furthermore, in the future,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in the U.S. Additionally, ineffective internal control over financial reporting could subject us to regulatory investigations, and civil or criminal sanctions.</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grants of share-based awards may have an adverse effect on our financial condition and results of operations and have dilutive impact to your investment.</w:t>
      </w:r>
    </w:p>
    <w:p>
      <w:pPr>
        <w:spacing w:after="0" w:line="5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We adopted three share incentive plans in May 2020, December 2021 and May 2023, which we refer to as the 2020 Plan, 2021 Plan and 2023 Plan, respectively, in this annual report, to grant share-based compensation awards to employees, directors, consultants and senior management to incentivize their performance and align their interests with ours. We adopted a share incentive plan in September 2022, which we refer to as the 2022 Plan in this annual report, which replaced the 2021 Plan in its entirety. Options that were issued under the 2021 Plan were accordingly cancelled and replaced by options issued under the 2022 Plan. The maximum aggregate number of ordinary shares we are authorized to issue pursuant to all awards under the 2020 Plan, 2022 Plan and 2023 Plan are 4,512,276 ordinary shares, 11,775,525 ordinary shares and 4,755,000 ordinary shares, respectively. We have also separately issued share incentive awards to our directors, officers and employees outside of these share incentive plans. As of March 31, 2026, there were a total of 16,903,167 Class A ordinary shares underlying outstanding share options, restricted shares and restricted share units. See “Item 6. Directors, Senior Management and Employees—B. Compensation—Share Incentive Awards.”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will continue to grant share-based compensation to employees, directors and consultants in the future. As a result, our expenses associated with share-based compensation may increase, which may have an adverse effect on our financial condition and results of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and other claims and legal proceedings, and may not always be successful in defending ourselves against these claims or proceedings.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have been, and may continue to be, subject to lawsuits, claims and other legal proceedings involving our customers, competitors, employees, business partners, investors, other shareholders of the companies we invest, or other entities in the ordinary course of our business. We may also be subject to regulatory investigations or other proceedings in the ordinary course of our business. We may not be successful in defending ourselves when named as defendants or may fail to obtain judgments in our favor when we initiate the litigation or proceeding against third parties. Lawsuits and regulatory proceedings involving us may also generate negative publicity that significantly harms our reputation, which may adversely affect our customer base, market position and our relationships with our research partners and other business partners. In addition to the related costs, managing and defending litigation and other legal proceedings and related indemnity obligations can significantly divert our management’s attention from operating our business. We may also need to pay damages or settle lawsuits or other claims with a substantial amount of cash, negatively affecting our liquidity. As a result, our business, financial condition and results of operations could be adversely affected.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Government Regulations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legal and regulatory requirements for our NGS-based products and services. Any lack of requisite certificates, licenses or permits applicable to our business may have an adverse impact on our business, financial condition and results of operations.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are engaged in the purchase, manufacturing, sale and usage of certain imported laboratory equipment, NGS-based products and related software. The laws and regulations regulating NGS-based products are still in a preliminary stage of development in China. In accordance with current PRC laws and regulations, certain of these equipment, products and software are regulated as medical devices and are required to obtain and maintain various certificates, licenses and permits, including but not limited to medical device record-filing certificates, medical device manufacturing licenses, medical device registration certificates and medical device operation licenses.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obtained China’s first medical device registration certificate for NGS-based cancer therapy selection; however, certain of our equipment, products and software have not obtained the required certificates, licenses or permits as of the date of this annual report. In China, very few NGS-based products have obtained medical device registration certificates issued by the competent Chinese governmental authorities. It is uncertain whether we can obtain all medical device registration certificates for our NGS-based products and how long it will take to obtain such registration certificates.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obtained the NMPA approval for two of our NGS reagent kits, which is valid for five years, and may seek to obtain such approvals for our other NGS reagent kits or any other products currently under development, including our early cancer detection products, from time to time. The NMPA has substantial discretion in the approval process and may refuse to accept any application or may decide that our data are insufficient for approval and require additional pre-clinical, clinical or other studies. The process of obtaining NMPA approvals is inherently uncertain and there is no guarantee that we could successfully obtain NMPA approvals for our existing or future products in a timely manner or at all. Delays or failure in obtaining NMPA approvals of our products could result in substantial additional costs, adversely affect our ability to compete with other companies, and negatively affect investors’ confidence in our financial performance and business prospects. Even if the NMPA approval is ultimately granted, we may not successfully maintain or renew the approval and the approval may be withdrawn. Any NMPA approval received may also restrict the intended use and marketing of the product we want to commercialize.</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According to the most recently amended Regulations on the Supervision and Administration of Medical Devices which became effective on June 1, 2021, subject to more detailed administrative measures to be enacted by the NMPA and the PRC National Health Commission, or the NHC, qualified medical institutions may, based on clinical demands, conduct research and development on in vitro diagnostic testing reagents if the same type of products are not available at market in China, and may also use such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testing reagents internally under the instruction of practicing physicians. According to these provisions, medical institutions may use self-developed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testing reagents without medical device registration certificate for specific purposes under specific circumstances. However, since the specific administrative measures are still in the process of being formulated, there is uncertainty as to the specific requirements we must comply with.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have not been subject to any penalties from the relevant authorities for the purchase, manufacture, sale and usage of these equipment, products and software. As advised by our PRC counsel, Shihui Partners, the risk of penalties imposed by the competent authorities is relatively low. However, we cannot assure you that the competent governmental authorities will not take different views or interpretations from us or our PRC counsel, or enact new detailed or more restrictive rules and regulations. Failure to comply with laws or regulations may subject us to penalties, including fines, confiscation of these equipment, products and software and suspension of business, and our business and results of operations could be adversely affected.</w:t>
      </w:r>
    </w:p>
    <w:p>
      <w:pPr>
        <w:spacing w:after="0" w:line="187" w:lineRule="exact"/>
        <w:rPr>
          <w:sz w:val="20"/>
          <w:szCs w:val="20"/>
          <w:color w:val="auto"/>
        </w:rPr>
      </w:pPr>
    </w:p>
    <w:p>
      <w:pPr>
        <w:ind w:left="120" w:right="160" w:firstLine="440"/>
        <w:spacing w:after="0" w:line="236" w:lineRule="auto"/>
        <w:rPr>
          <w:sz w:val="20"/>
          <w:szCs w:val="20"/>
          <w:color w:val="auto"/>
        </w:rPr>
      </w:pPr>
      <w:r>
        <w:rPr>
          <w:rFonts w:ascii="Times New Roman" w:cs="Times New Roman" w:eastAsia="Times New Roman" w:hAnsi="Times New Roman"/>
          <w:sz w:val="18"/>
          <w:szCs w:val="18"/>
          <w:color w:val="auto"/>
        </w:rPr>
        <w:t>We are subject to ongoing obligations and continued regulatory review. There could be a subsequent discovery of previously unknown problems with our NGS-based products and services. In addition, our continuous business development in terms of product offerings or geographic expansion may subject us to additional legal and regulatory requirements. For example, we have obtained the Japan’s Ministry of Health, Labour and Welfare (MHLW) approval for one of our products based on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have commenced sales in Japan in 2025. Any government investigation of alleged violations of law could require us to expend significant time and resources and could result in adverse government actions and negative publicity.</w:t>
      </w:r>
    </w:p>
    <w:p>
      <w:pPr>
        <w:spacing w:after="0" w:line="304"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existing or future laws and regulations related to the management of human genetic resources in China could lead to government enforcement actions, which could include civil or criminal fines or penalties, private litigation, other liabilities, and/or adverse publicity. Compliance or the failure to comply with such laws could increase the costs of, limit and cause significant delay in our clinical studies and research and development activities, and could otherwise materially and adversely affect our operating results, business and prospects.</w:t>
      </w:r>
    </w:p>
    <w:p>
      <w:pPr>
        <w:spacing w:after="0" w:line="7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Laws and regulations related to the management of human genetic resources in China are rapidly evolving and the enforcement thereof is likely to remain uncertain for the foreseeable future. On June 10, 1998, the Ministry of Science and Technology, or MOST, and the Ministry of Health jointly established the rules for protecting and utilizing human genetic resources, or HGR, in China. From 2006 to 2016, MOST and other regulatory agencies in China have been focused on HGR legislation, and proactively sought opinions from the public on draft regulations. In 2015, MOST issued a Guideline on HGR and reinforced its legislative efforts in HGR administration. In May 2019, the State Council promulgated the Regulation on Human Genetic Resources Management, or the HGR Regulation, which was last amended and became effective on May 1, 2024. On May 26, 2023, MOST issued the Implementing Rules for HGR Regulation, or “Implementing Rules”, which took effect on July 1, 2023.</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HGR Regulation and the Implementing Rules prohibit foreign entities or individuals or such entities established or actually controlled thereby, or “Foreign Persons,” from collecting or preserving China HGR in China, or providing China HGR abroad, whereas activities of collection and preservation of organs, tissues and cells for purposes of clinical diagnosis and treatment, service of blood collection and provision, investigation of illegal activities, doping test and funeral service, are required to be conducted in accordance with other relevant laws and regulations. The HGR Regulation permits Foreign Persons’ limited use of China HGR “to carry out scientific research activities,” which must be conducted through collaboration with Chinese scientific research institutions, higher education institutions, medical institutions, or enterprises, collectively, the “Chinese Entities.” Such activities must be approved by the NHC, and the application for approval must be filed jointly by the Foreign Person and the relevant Chinese Entity. The only exception to the approval requirement is “international collaboration in clinical trials” that do not involve the outbound transfer of China HGR materials such as organs, tissues, or cells comprising the human genome, genes, or other genetic substances, collectively, China HGR Materials. Such clinical trial collaboration, however, must still be pre-registered with the NHC. There remain significant uncertainties as to how provisions of the HGR Regulation might be interpreted and implemented. A VIE entity actually controlled by a foreign entity through contractual agreements would be deemed as a Foreign Person under the HGR Regulation. Short-term storage of samples of laboratory testing by foreign laboratories or foreign-invested laboratories may also be interpreted as preserving China HGR, thus being subjected to the application, approval or pre-registration processes of the NHC.</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October 17, 2020, the Standing Committee of the NPC promulgated the Biosecurity Law of the PRC which was last amended and became effective on April 26, 2024. The Biosecurity Law of the PRC, among other things, restates relevant approval or pre-registration requirements of HGR collection, preservation, utilization and external provision, as provided in the HGR Regulation.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company with a VIE structure since our inception, we are deemed as a Foreign Person under the HGR Regulation and the Implementing Rules. As a result, when conducting or participating in research and clinical studies that involve any of our products, performing clinical studies for any of our pipeline products that are under development (including our early detection products), or providing companion diagnostics services to pharmaceutical companies, we are required to seek approval of or make pre-registration with MOST with respect to our collaborations with Chinese Entities under the HGR Regulation. These procedures could be lengthy and require additional expenses, and there is no assurance that we can complete these pre-registrations, or obtain such approvals, in a timely manner, or at all. As a result, our clinical studies and research and development activities of any of our products or pipeline products that are under development (including our early detection products), and our companion diagnostics development services to pharmaceutical companies may suffer significant delay, experience suspension, rejections, cancellations and other obstacles. As a result, our business, financial conditions, results of operations and prospects could be materially adversely affected.</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same as our peer companies in the healthcare industry in China, have received and may continue receiving notices from the relevant governmental authorities requiring us to share HGR-related information with competent government agencies from time to time, and have complied with all such requests. As of the same date, we have not been subject to any penalties from the competent governmental authorities for our business operations or clinical studies involving the use of China HGR. However, regulatory agencies in China may change their enforcement practices. On September 7, 2024, MOFCOM, NHC and NMPA issued the Administration on Carrying Out a Pilot Program for Expanding Opening-up in the Medical-related Field, or the “Pilot Program” which took effect on the same date, providing that, as of the date of promulgation of this Pilot Program, foreign-invested companies in the China (Beijing) Pilot Free Trade Zone, the China (Shanghai) Pilot Free Trade Zone, the China (Guangdong) Pilot Free Trade Zone and the Hainan Free Trade Port are allowed to engage in the technology development and application of human stem cells and gene diagnosis and treatment to register, produce and apply products. All the products that have been registered and approved for production may be used across the country. The foreign-invested companies which intend to participate in the Pilot Program shall abide by relevant PRC laws, administrative regulations and other provisions, and comply with the requirements on the management of human genetic resources, drug clinical trials (including international multi-center clinical trials), registration, application and production, and ethical review etc., while fulfilling relevant management procedures. The Company may establish its subsidiaries in such areas and conduct gene diagnosis and treatment works in accordance with the Pilot Program. Failure to comply with existing or future HGR laws and regulations, including the HGR Regulation and the Biosecurity Law, may subject us to penalties, including fines, suspension of related activities and confiscation of related HGR and gains generated from conducting these activities.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evolving government regulations may place additional burdens on our efforts to commercialize our products and services.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PRC government has introduced various reforms to the Chinese healthcare system in recent years and may continue to do so, with an overall objective of expanding basic medical insurance coverage and improve the quality and reliability of healthcare services. The specific regulatory changes under the reforms still remain uncertain. The implementing measures to be issued may not be sufficiently effective to achieve the stated goals, and as a result, we may not be able to benefit from these reforms to the level we expect, if at all. Moreover, the reforms could give rise to regulatory developments, such as more burdensome administrative procedures, which may have an adverse effect on our business and prospects.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laws and regulations in China, including those regulating medical devices and supplies, are rapidly evolving. On August 26, 2021, the State Administration for Market Regulation promulgated the new Administrative Measures for the Registration and Record- filing of Medical Devices and the Administrative Measures for the Registration and Record-filing of IVD Reagents, both of which became effective on October 1, 2021. On March 10, 2022, the SAMR promulgated the new Measures for the Supervision and Administration of the Manufacture of Medical Devices and the new Measures for the Supervision and Administration of the Business Operation of Medical Devices which both became effective on May 1, 2022. On December 6, 2024, the State Council promulgated the amended Regulations on Supervision and Administration of Medical Devices, which became effective on January 20, 2025. Changes in these areas could impose more stringent requirements on us and increase our compliance and other operating costs, and we may not be able to achieve or sustain profitability. Changes in government regulations could also prevent, limit or delay regulatory approvals in relation to our NGS-based products and services. Moreover, regulatory authorities may conduct periodic or unannounced inspections on pharmaceutical and medical device companies to check if these companies’ manufacturing, quality control and procurement, among others, are in compliance with relevant laws and regulations. If we are not able to maintain regulatory compliance or pass regulatory inspections, any regulatory approval that has been obtained may be revoked, and we may be required to recall our current or future products, or even to partially suspend or totally shut down our production. In addition, regulatory changes may relax certain requirements that could benefit our competitors or lower market entry barriers and increase competition. Further, regulatory agencies in China may periodically, and sometimes abruptly, change their enforcement practices. Any litigation or governmental investigation or enforcement proceedings against us in China may be protracted and may result in substantial costs and diversion of resources and management attention, negative publicity, damage to our reputation and decline in the price of our ADSs.</w:t>
      </w:r>
    </w:p>
    <w:p>
      <w:pPr>
        <w:spacing w:after="0" w:line="195"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Furthermore, China’s regulatory framework governing genetic testing is also in the preliminary stage and rapidly evolving. The evolution of government regulations and their interpretation and enforcement involve significant uncertainties, which may place additional burdens on us or even render it impossible for us to comply with certain regulations. For example, in February 2014, two government agencies jointly published an announcement regarding the clinical application of genetic tests, or Circular 25, which halted the provision of genetic tests unless the clinical laboratory of genetic testing is included in a designated pilot program. Pursuant to Circular 25, in March 2014, the PRC government launched the pilot program that granted permits to NGS laboratories. This pilot program, to our knowledge, has been discontinued. Since no implementing rules for Circular 25 have been promulgated as of the date of this annual report, the provision of genetic testing by biotechnology companies, including us, which were not included in such pilot program, may be deemed by the competent governmental authorities to have violated Circular 25. As advised by our PRC counsel, we believe that the risk of us being found in violation of Circular 25 by providing genetics tests is low, given that (i) our central laboratory has obtained the clinical PCR testing laboratory certificate, and we are one of the first biotechnology companies in China that have obtained the NGS laboratory certificate, both issued by the NCCL, according to Administrative Regulations for Clinical Gene Amplification Laboratory of Medical Institutions, and (ii) as of the date of this annual report, the relevant governmental authorities have not imposed any penalties on us, or to our knowledge, on other peer companies conducting genetic testing, for any violation of Circular 25. However, we cannot assure you that the governmental authorities will take the same view with us or our PRC counsel. If the governmental authorities determine that we have violated Circular 25, our business of provision of genetic tests may be halted, which may adversely affect our business and prospects.</w:t>
      </w:r>
    </w:p>
    <w:p>
      <w:pPr>
        <w:spacing w:after="0" w:line="30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various anti-corruption laws and regulations. Any determination that we or our employees have violated these laws and regulations could have an adverse effect on our business or our reputation.</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operate in the healthcare industry in China and are subject to Chinese anti-corruption laws and regulations, which generally prohibit companies and intermediaries from engaging in any bribery, corruption and fraudulent activities, including, among other things, improper payments or other form of bribes to hospitals and physicians in connection with the procurement of products. If we, due to either our own deliberate or inadvertent acts or those of others, fail to comply with applicable anti-corruption laws, our reputation could be harmed and we could incur criminal or civil penalties, other sanctions and/or significant expenses, which could have an adverse effect on our business, including our financial condition, results of operations, cash flows and prospects.</w:t>
      </w:r>
    </w:p>
    <w:p>
      <w:pPr>
        <w:spacing w:after="0" w:line="187"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In addition, our procedures and controls to monitor anti-bribery compliance may fail to protect us from reckless or criminal acts committed by our employees. We could be liable for actions taken by our employees, including any violations of applicable law in connection with the marketing or sale of our products and services, including China’s anti-corruption laws and the Foreign Corrupt Practices Act of the U.S., or the FCPA. In particular, if our employees make any payments that are forbidden under the FCPA, we could be subject to civil and criminal penalties imposed by the U.S. government.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regulations governing the use of personal data in China, which are still under development, could adversely affect our business and reputation.</w:t>
      </w:r>
    </w:p>
    <w:p>
      <w:pPr>
        <w:spacing w:after="0" w:line="5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Through our products and services, we have access to our tested individuals’ personal data, including their age, gender, disease status and medical records. We use these personal data internally to expand our database and improve the clinical utility of our analytics and reporting system.</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Chinese regulations governing the collection and use of personal data are still under development. On June 10, 2021, the Standing Committee of the NPC promulgated the PRC Data Security Law, which became effective on September 1, 2021. The PRC Data Security Law defines “data” referred to therein as any recording of information in electronic or other forms and defines “data processing” as including, without limitation to, the collection, storage, use, processing, transmission, provision, disclosure of data. Any organization or individual that collects data is required to do so in a lawful and legitimate manner and are prohibited stealing or obtaining data by any other illegal means. Where laws and administrative regulations contain provisions on the purposes and scope of data collection and use, organizations and individuals shall collect and use data within the purposes and scope prescribed by laws and administrative regulations. Data processors shall establish and improve a whole-process data security management system, organize data security education and trainings, and take appropriate technical and other necessary measures to protect data security. Following the PRC Data Security Law, the long anticipate Personal Information Protection Law of the PRC was promulgated on August 20, 2021 and became effective on November 1, 2021, which is considered China’s first comprehensive law in the personal information protection. The Personal Information Protection Law of the PRC emphasizes that the processing of personal information shall have clear and reasonable purposes and be carried out in a way that has minimal impact on personal rights and interests. The collection of personal information shall be limited to the smallest scope necessary for achieving the purpose of processing. No organization or individual may illegally collect, use, process or transmit the personal data of others, or illegally trade, provide or publicly disclose the personal data of others, or engage in personal data processing activities that endanger national security or public interests.</w:t>
      </w:r>
    </w:p>
    <w:p>
      <w:pPr>
        <w:spacing w:after="0" w:line="19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that there is currently no PRC legal restriction on our internal use of our tested individuals’ personal data if we establish relevant personal data protection procedures, any change in the regulatory regime in this regard could potentially subject us to more stringent data privacy regulations and affect our ability with regard to the collection and use of these personal data, which in turn could have an adverse effect on our business, financial condition and results of operations. In the future, we plan to expand our business internationally and will be subject to relevant regulatory regimes related to data privacy in those countries, which may be subject us to heightened standards of data protection.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11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w:t>
      </w:r>
    </w:p>
    <w:p>
      <w:pPr>
        <w:spacing w:after="0" w:line="6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Negative List (2024 Edition) promulgated on March 10, 2024 and became effective on May 1, 2024, foreign investors are prohibited from investing in businesses related to the research, development, and application of genomic diagnosis and treatment technology.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Burning Rock Biotech Limited is an exempted company limited by shares incorporated under the laws of the Cayman Islands, and its wholly-owned subsidiary, or WFOE is considered a foreign-invested enterprise. To comply with PRC laws and regulations, we conduct substantially all of our business in the PRC through Burning Rock (Beijing) Biotechnology Co., Ltd., the VIE, and its subsidiaries, based on contractual arrangements entered into among the WFOE, the VIE and its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believe that, although we do not have equity ownership of the VIE, our corporate structure and contractual arrangements enable us to: (i) be the exclusive provider of business support, technical and consulting services in exchange for a fee; (ii) receive substantially all of the economic benefits and bear the obligation to absorb substantially all of the losses of the VIE; (iii) have an irrevocable and exclusive right to purchase, or to designate one or more persons to purchase, from the registered shareholders all or any part of their equity interests in the VIE at any time and from time to time in our absolute discretion to the extent permitted by PRC laws; (iv) have an irrevocable and exclusive right to purchase, or to designate one or more persons to purchase, from the VIE all or any part of its assets at any time and from time to time in our absolute discretion to the extent permitted by PRC laws;</w:t>
      </w:r>
    </w:p>
    <w:p>
      <w:pPr>
        <w:spacing w:after="0" w:line="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(v)  appoint us, any person authorized by us (except the shareholders of the VIE), as exclusive agent and attorney to act on behalf of the shareholders of the VIE on all matters concerning the VIE and to exercise all their rights as a registered shareholder of the VIE in accordance with PRC laws and the articles of the VIE; and (vi) pledge as first-ranking charge all of the equity interests in the VIE to us as collateral security for any and all of the guaranteed debt under the contractual arrangements and to secure performance of the obligations under the contractual arrangements. The contractual arrangements allow the results of operations and assets and liabilities of the VIE and its subsidiaries to be consolidated into our results of operations and assets and liabilities under U.S. GAAP as if they were subsidiaries of our Group.</w:t>
      </w:r>
    </w:p>
    <w:p>
      <w:pPr>
        <w:spacing w:after="0" w:line="8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PRC counsel, Shihui Partners, is of the opinion that (i) the ownership structure of WFOE and the VIE does not violate applicable PRC laws and regulations currently in effect, and (ii) the contractual arrangements are valid, binding and enforceable in accordance with the applicable PRC laws or regulations currently in effect. However, there can be no assurance that the PRC government authorities will take a view that is not contrary to or otherwise different from the opinion of our PRC counsel stated above. There is also the possibility that the PRC government authorities may adopt new laws, regulations and interpretations that may invalidate the contractual arrangements. If the PRC government determines that we are in violation of PRC laws or regulations or lack the necessary permits or licenses to operate our business, the relevant PRC regulatory authorities, including the NHC, would have broad discretion in dealing with such violations or failures, including, but not limited to:</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operating 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or confiscating any of our income that they deem to have been obtained through illegal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or WFOE and the VIE may not be able to comply;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WFOE and the VIE to restructure the relevant ownership structure or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from our initial public offering and the concurrent private placement or other of our financing activities to finance the business and operations of the VIE and its subsidiaries;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2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Any of these actions could cause significant disruption to our business operations, and may adversely affect our business, financial condition and results of operations. In addition, if the PRC governmental authorities find our legal structure and contractual arrangements to be in violation of PRC laws and regulations, it is unclear what impact these actions would have on us and on our ability to consolidate the financial results of the VIE and its subsidiaries in our consolidated financial statements. If any penalty results in our inability to direct the activities of the VIE and its subsidiaries and/or assert contractual control rights over the assets of the VIE and its subsidiaries that conduct substantially all of our PRC operations, and such a penalty significantly impacts their economic performance and/or our ability to receive economic benefits from the VIE and its subsidiaries, we may not be able to consolidate the VIE and its subsidiaries into our consolidated financial statements in accordance with U.S. GAAP.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the VIE and its shareholders may not be as effective in providing operational control or enabling us to derive economic benefits as a direct ownership of a controlling equity interest would be.</w:t>
      </w:r>
    </w:p>
    <w:p>
      <w:pPr>
        <w:spacing w:after="0" w:line="5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VIE and its subsidiaries are consolidated for accounting purposes only, and we do not own any equity interest in any of these entities. We have relied and expect to continue to rely on contractual arrangements with the VIE, its shareholders and subsidiaries to operate our business activities. These contractual arrangements may not be as effective as direct ownership in providing us with control over the VIE and its subsidiaries. For example, the VIE, its subsidiaries or shareholders may fail to fulfill their contractual obligations with us or take other actions that are detrimental to our interests.</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had direct ownership of the VIE, we would be able to exercise our rights as shareholders to effect changes in their board of directors, which in turn could implement changes, subject to any applicable fiduciary obligations, at the management and operational level. However, under the current contractual arrangements, we rely on the performance by the VIE, its subsidiaries and shareholders of their obligations under the contractual arrangements to exercise control over the VIE and its subsidiaries. As a result, investors in Burning Rock may never directly control equity interests in the VIE and its subsidiaries. The shareholders of the VIE may not act in the best interests of our company or may not perform their obligations under these contracts. These risks exist throughout the period in which we intend to operate our business through the contractual arrangements with the VIE, its subsidiaries and shareholders. If any of these shareholders is uncooperative or any dispute relating to these contracts remains unresolved, we will have to enforce our rights under these contracts through the operations of PRC laws and arbitration, litigation and other legal proceedings, the outcome of which will be subject to uncertainties in the PRC legal system; we may also incur substantial costs to enforce the terms of the arrangements. If we are unable to enforce the contractual arrangements or we experience significant delays or other obstacles in the process of enforcing the contractual arrangements, we may not be able to exert effective control over the VIE and may lose control over its assets. Therefore, our contractual arrangements with the VIE, its subsidiaries and shareholders may not be as effective in ensuring our control over the relevant portion of our business operations as direct ownership would be.</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 that are critical to the operation of our business if the VIE declares bankruptcy or becomes subject to a dissolution or liquidation proceeding.</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VIE holds certain assets that are critical to the operation of our business. Under the contractual arrangements entered into by WFOE, the VIE and its shareholders, the VIE may not and its shareholders may not cause it to, sell, transfer, pledge or dispose of in any other manner the legal or beneficial interest in the VIE. They also may not allow any encumbrance of security interest over such equity interest, except for the equity interest pledge agreement in the contractual arrangements, without WFOE’s prior written consent. However, if the shareholders of the VIE or its subsidiaries breach the contractual arrangements and voluntarily liquidate the VIE or its subsidiaries, or if the VIE or its subsidiaries declares bankruptcy and all or part of their assets become subject to liens or rights of third-party creditors or are otherwise disposed of without our consent, we may be unable to continue some or all of our business activities, which could adversely affect our business, financial condition and results of operations. In addition, if the VIE or its subsidiaries undergoes an involuntary liquidation proceeding, third-party creditors may claim rights to some or all of its or their assets, thereby hindering our ability to operate our business, which could adversely affect our business, financial condition and results of operations.</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its subsidiaries or shareholders to perform their obligations under our contractual arrangements with them would have an adverse effect on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contractual arrangements entered into by WFOE, the VIE and its shareholders, these shareholders covenanted that they will not request the VIE to distribute profit or dividends, raise shareholders’ resolution to make such a distribution or vote in favor of any such relevant shareholders’ resolution without WFOE’s prior written consent. If these shareholders receive any income, profit distribution or dividend, except as otherwise determined by us, they must promptly transfer or pay such income, profit distribution or dividend to us or any other person designated by us as service fees to the extent permitted under applicable PRC laws. If the shareholders of the VIE breach the relevant covenants, we may need to resort to legal proceedings to enforce the terms of the contractual arrangements. Any such legal proceedings may be costly and may divert our management’s time and attention away from the operation of our business, and the outcome of such legal proceedings is uncertain. For more information on how cash is transferred through our organization, see “Item 3. Key Information—Results of Operations, Financial Position and Cash Flows of the VIE And Its Subsidiaries.”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ultimate beneficial shareholders of the VIE may have conflicts of interest with us, which may adversely affect our business.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equity interests in the VIE are ultimately beneficially held by certain of our directors, indirect shareholders and employees of these indirect shareholders. However, these ultimate beneficial shareholders may have potential conflicts of interest with us. They may breach, or cause the VIE to breach, the contractual arrangements. We cannot assure you that when conflicts arise, the ultimate beneficial shareholders of the VIE will act in the best interests of our company or that conflicts will be resolved in our favor. If we cannot resolve any conflicts of interest or disputes between us and these shareholders, we would have to rely on legal proceedings, which could result in the disruption of our business and subject us to substantial uncertainty as to the outcome of any such legal proceedings.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our business operations in the PRC through the VIE and its subsidiaries by way of our contractual arrangements, but certain of the terms of our contractual arrangements may not be enforceable under PRC laws.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All the agreements that constitute our contractual arrangements with the VIE, its subsidiaries and shareholders are governed by PRC laws and provide for the resolution of disputes through arbitration in the PRC. Accordingly, these agreements would be interpreted in accordance with PRC laws, and disputes would be resolved in accordance with PRC legal procedures. These contractual arrangements may not be as effective in providing control over these entities as direct ownership. If we are unable to, or have to incur substantial costs to, enforce the contractual arrangements, or if we suffer significant time delays or other obstacles in the process of enforcing them, it would be very difficult to exert effective control over the VIE and its subsidiaries. We may have to rely on legal remedies under the laws of Chinese mainland, including contract remedies, in the event of a breach of any agreements constituting the contractual arrangements by the VIE, which may not be sufficient or effective. As a result, our ability to conduct our business and our financial condition and results of operations may be adversely affected.</w:t>
      </w:r>
    </w:p>
    <w:p>
      <w:pPr>
        <w:spacing w:after="0" w:line="192"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contractual arrangements provide that (i) in the event of a mandatory liquidation required by PRC laws, WFOE may act on behalf of the shareholders of the VIE to exercise all such rights associated with their equity interest; and (ii) in such event, where PRC laws permit, any distribution the shareholders of the VIE are entitled to receive, after deducting their initial capital contribution, will be transferred voluntarily to WFOE. Such provision may not be enforceable under PRC laws in the event of a mandatory liquidation required by PRC laws or bankruptcy liquidation.</w:t>
      </w:r>
    </w:p>
    <w:p>
      <w:pPr>
        <w:spacing w:after="0" w:line="26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the equity interest and assets of the VIE, this equity interest or asset transfer may subject us to certain limitations and substantial costs.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Pursuant to the contractual arrangements, WFOE or its designated person has the irrevocable and exclusive right to purchase all or any portion of the equity interests in the VIE from the VIE’s shareholders at any time and from time to time in its absolute discretion to the extent permitted by PRC laws. The consideration WFOE pays for such purchases will be an amount equal to then registered capital of the VIE multiplied by the percentage of any equity interest to be purchased in proportion to the total equity interests of the VIE. But if applicable PRC law contains a compulsory requirement regarding transfer of the equity interest, the WFOE or any third party designated is entitled to pay the lowest price permitted by the PRC law as the purchase price. In addition, under the contractual arrangements, WFOE or its designated party has the irrevocable and exclusive right, where permitted by PRC law, to purchase from the VIE all or any portion of its assets, and the purchase price will be the higher of (i) the net book value of the assets to be purchased and (ii) the lowest price permitted by applicable PRC law.</w:t>
      </w:r>
    </w:p>
    <w:p>
      <w:pPr>
        <w:spacing w:after="0" w:line="8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Such transfer of equity or assets may be subject to approvals from, or filings with, competent PRC authorities, such as the Ministry of Commerce, or MOFCOM, the State Administration for Market Regulation, or the SAMR, and/or their local competent branches. In addition, the equity transfer price may be subject to review and tax adjustment by the relevant tax authorities. The assets transfer price to be received by the VIE under the contractual arrangements may also be subject to enterprise income tax, and these amounts could be substantial.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the Foreign Investment Law and how it may affect the viability of our current corporate structure, corporate governance and business operations.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March 15, 2019, the Foreign Investment Law was formally passed by the thirteenth National People’s Congress and it became effective on January 1, 2020. The Foreign Investment Law replaced the Law on Sino-Foreign Equity Joint Ventures, the Law on Sino-Foreign Cooperative Joint Ventures and the Law on Foreign-Capital Enterprises and became the legal foundation for foreign investment in the PRC. The Foreign Investment Law stipulates certain forms of foreign investment. However, the Foreign Investment Law does not explicitly stipulate contractual arrangements such as those we rely on as a form of foreign investment.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above, the Foreign Investment Law stipulates that foreign investment includes “foreign investors investing through any other methods under laws, administrative regulations or provisions prescribed by the State Council.” Future laws, administrative regulations or provisions prescribed by the State Council may possibly regard contractual arrangements as a form of foreign investment. If this happens, it is uncertain whether our contractual arrangements with the VIE, its subsidiaries and shareholders would be recognized as foreign investment, or whether our contractual arrangements would be deemed to be in violation of the foreign investment access requirements. As well as the uncertainty on how our contractual arrangements will be handled, there is substantial uncertainty regarding the interpretation and the implementation of the Foreign Investment Law. The relevant government authorities have broad discretion in interpreting the law. Therefore, there is no guarantee that our contractual arrangements, the business of the VIE and our financial condition will not be adversely affected.</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Depending on future developments under the new Foreign Investment Law, we could be required to unwind the contractual arrangements and/or dispose of the VIE, which would have an adverse effect on our business, financial conditions and result of operations. If our company no longer has a sustainable business after an unwinding or disposal or when such requirements are not complied with, regulators in the U.S., may take enforcement actions against us, which may have an adverse effect on the trading of our Shares or even result in delisting our company.</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a potential adverse impact to our company if our contractual arrangements with the VIE, its subsidiaries and shareholders are not treated as domestic investment.</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the operation of our businesses conducted through the VIE is subject to any restrictions pursuant to the Negative List or any successor regulations, and the contractual arrangements are not treated as domestic investment, the contractual arrangements may be regarded as invalid and illegal. If this were to occur, we would not be able to operate the relevant businesses through the contractual arrangements and would lose our rights to receive the economic benefits of the VIE. As a result, we would no longer consolidate the financial results of the VIE into our financial results and we would have to derecognize their assets and liabilities according to the relevant accounting standards. If we do not receive any compensation, we would recognize an investment loss as a result of such derecognition.</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may be subject to scrutiny by the PRC tax authorities, and a finding that we owe additional taxes could adversely affect our results of operations and reduce the value of your investment.</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PRC laws and regulations, arrangements and transactions among related parties may be subject to audit or challenge by the PRC tax authorities within ten years after the taxable year during which arrangements and transactions were concluded. The Enterprise Income Tax Law, or the EIT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arm’s-length principles. We may face adverse tax consequences if the PRC tax authorities determine that the contractual arrangements among the WFOE and the VIE do not represent an arm’s-length price and adjust the VIE’s income in the form of a transfer pricing adjustment. A transfer pricing adjustment could, among other things, result in a reduction, for PRC tax purposes, of expense deductions recorded by the VIE, which could in turn increase their tax liabilities. In addition, the PRC tax authorities may impose late payment fees and other penalties to our PRC controlled structured entities for under-paid taxes. Our results of operations may be adversely affected if our tax liabilities increase or if we are found to be subject to late payment fees or other penalties.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5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Under the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market supervision administration. In order to maintain the physical security of our chops and the chops of our PRC entities, we generally store these items in secured locations accessible only by the authorized personnel of each of our PRC subsidiary and the VIE. Although we monitor such authorized personnel, we cannot assure you that such procedures will prevent all instances of abuse or negligence.</w:t>
      </w:r>
    </w:p>
    <w:p>
      <w:pPr>
        <w:spacing w:after="0" w:line="168"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Accordingly, if any of our authorized personnel misuses or misappropriates our corporate chops or seals, or our corporate chops or seals are not kept safely, stolen or otherwise used by unauthorized persons or for unauthorized purposes, we could encounter difficulties in maintaining control over the relevant entities and experience significant disruption to our operations. If a designated legal representative obtains control of the chops in an effort to obtain control over any of our PRC subsidiary or the VIE, we, our PRC subsidiaries or the VIE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PRC</w:t>
      </w:r>
    </w:p>
    <w:p>
      <w:pPr>
        <w:spacing w:after="0" w:line="11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we mainly conduct our business in China, we may be subject to PRC laws relating to, among others, data security and restrictions over foreign investments in scientific research and technical services and other industry sectors set out in the Negative List (2024 Edition). Specifically, 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These PRC laws and their interpretations and enforcement continue to develop and are subject to change, and the PRC government may adopt other rules and restrictions in the future.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legal and operational risks associated with our operations in China. The PRC government has significant authority to exert influence on the ability of a company with operations in China, including us, to conduct its business. Changes in China’s economic, political or social conditions or government policies could materially and adversely affect our business and results of operations. We are subject to risks due to the uncertainty of the interpretation and the application of the PRC laws and regulations, including but not limited to the risks of uncertainty about any future actions of the PRC government on U.S. listed companies. We may also be subject to sanctions imposed by PRC regulatory agencies, including CSRC, if we fail to comply with their rules and regulations. Any actions by the PRC government to exert more oversight and control over offerings that are conducted overseas and/or foreign investment in companies having operations in China, including us, could significantly limit or completely hinder our ability to offer or continue to offer securities to investors, and cause the value of our securities to significantly decline or become worthless. These China-related risks could result in a material change in our operations and/or the value of our securities, or could significantly limit or completely hinder our ability to offer securities to investors in the future and cause the value of such securities to significantly decline or become worthless.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PRC government may exert, at any time, substantial intervention and influence over the manner of our operations.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new laws and regulations related to data security, and expanding the efforts in anti-monopoly enforcement.</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28, 2021, the CAC, and 12 other departments jointly promulgated the newly revised Measures for Cybersecurity Review with effect from February 15, 2022 (“Measures”), which provides that (i) a critical information infrastructure operator (“CIIO”) which intends to purchase network products and services shall prejudge the possible risks to national security that may arise after the products and services are put into use and where national security will or may be affected, the operator shall apply with the Cybersecurity Review Office for cybersecurity review, and (ii) a network platform operator (“NPO”) that possesses more than one million users’ personal information must apply for cybersecurity review before listing in a foreign country.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November 14, 2021, the CAC publicly solicited opinions on the Regulations on the Administration of Cyber Data Security (Draft for Comments) which expanded the scope of application of cybersecurity review, established the data classified and categorized protection system, and defined the relevant rules for cross-border security management of data. It provides that data processors carrying out the following activities shall apply for cybersecurity review: (i) merger, reorganization or division of Internet platform operators that gather and possess a large number of data resources having bearing on the national security, economic development or public interests, which affects or may affect national security; (ii) listing in a foreign country of a data processor that processes the personal information of more than one million persons; (iii) listing in Hong Kong of a data processor, which affects or may affect national security; and (iv) other data processing activities that affect or may affect national security.</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According to the above provisions, we will be subject to cybersecurity review if we are identified as a CIIO that procures network products or services which affect or may affect national security after being put into use or NPO that conducts data processing activities which affect or may affect national security, or we have more than one million users’ personal information and plans to be listed abroad.</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and our PRC legal counsel, Shihui Partners, are of the view that, as of the date of this annual report, the possibility that we become identified as a CIIO or NPO and accordingly would be subject to the cybersecurity review pursuant to the relevant regulations and policies that have been issued by the CAC is relatively low, due to the following reasons:</w:t>
      </w:r>
    </w:p>
    <w:p>
      <w:pPr>
        <w:spacing w:after="0" w:line="81" w:lineRule="exact"/>
        <w:rPr>
          <w:sz w:val="20"/>
          <w:szCs w:val="20"/>
          <w:color w:val="auto"/>
        </w:rPr>
      </w:pPr>
    </w:p>
    <w:p>
      <w:pPr>
        <w:jc w:val="both"/>
        <w:ind w:left="1080" w:right="100" w:hanging="539"/>
        <w:spacing w:after="0" w:line="289" w:lineRule="auto"/>
        <w:tabs>
          <w:tab w:leader="none" w:pos="10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we have not received any CIIO identification notice as of the date of this annual report, which is required to be issued in a timely manner by competent departments responsible for the security protection work of critical information infrastructures after they have organized the CIIO identification in the industry in accordance with the Regulations on the Security Protection of Critical Information Infrastructures;</w:t>
      </w:r>
    </w:p>
    <w:p>
      <w:pPr>
        <w:spacing w:after="0" w:line="63" w:lineRule="exact"/>
        <w:rPr>
          <w:sz w:val="20"/>
          <w:szCs w:val="20"/>
          <w:color w:val="auto"/>
        </w:rPr>
      </w:pPr>
    </w:p>
    <w:p>
      <w:pPr>
        <w:ind w:left="1080" w:right="220" w:hanging="539"/>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(ii).</w:t>
        <w:tab/>
        <w:t>NPO is not defined in the Measures and even if a company has been identified as NPO, whether such a company needs to be subject to cybersecurity review depends on whether its data processing activities will “affect or may affect national security.” As of the date of this annual report, we have not experienced any major information security incident in relation to the theft, leakage, damage, illegal use or illegal export of data or personal information. In addition, all the user data collected by us in business operation are stored in Chinese mainland;</w:t>
      </w:r>
    </w:p>
    <w:p>
      <w:pPr>
        <w:spacing w:after="0" w:line="8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We process no more than one million users’ personal information; And</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539"/>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(iv).</w:t>
        <w:tab/>
        <w:t>However, according to article 16 of the Measures, the member unit of the cybersecurity review work mechanism (the “Cybersecurity Member Unit”) has the right to initiate review on network products and services and data processing activities that it deems as “affect or may affect national security” at its own discretion. If the Cybersecurity Member Unit decides to take a cybersecurity review on us and we fail such review, it could significantly limit or completely hinder our ability to offer or continue to offer securities to investors and cause the value of our securities to significantly decline or become worthless.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7"/>
          <w:szCs w:val="17"/>
          <w:color w:val="auto"/>
        </w:rPr>
        <w:t>Currently, the cybersecurity laws and regulations have not directly affected our business and operations, but in anticipation of the strengthened implementation of cybersecurity laws and regulations and the expansion of our business, we face potential risks if we are deemed as a CIIO under applicable laws. In such case, we must fulfill certain obligations as required under the Cybersecurity Law and other applicable laws, including, among others, storing personal information and important data collected and produced within the PRC territory during our operations in China, which we are already doing in our business, and we may be subject to review when purchasing internet products and services.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Shihui Partners, do not expect that, as of the date of this annual report, the current applicable PRC laws on cybersecurity would have a material adverse impact on our business. After consulting with our PRC legal counsel, Shihui Partners, we believe that we are in compliance with regulations or policies that have been issued by the CAC as of the date of this annual report in all material aspects, on the following bases: (i) we have set up internal cybersecurity regulations, including data backup and recovery measures and disaster recovery measures; (ii) we have completed the Grade III information security protection filing as required by the relevant regulations and policies issued by relevant authorities; (iii) we inform our users and obtain their consent before collecting their personal information;</w:t>
      </w:r>
    </w:p>
    <w:p>
      <w:pPr>
        <w:spacing w:after="0" w:line="9" w:lineRule="exact"/>
        <w:rPr>
          <w:sz w:val="20"/>
          <w:szCs w:val="20"/>
          <w:color w:val="auto"/>
        </w:rPr>
      </w:pPr>
    </w:p>
    <w:p>
      <w:pPr>
        <w:ind w:left="420" w:hanging="304"/>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store relevant information in our own servers within the PRC; (v) we have not been investigated or received any request from any CAC</w:t>
      </w:r>
    </w:p>
    <w:p>
      <w:pPr>
        <w:spacing w:after="0" w:line="9" w:lineRule="exact"/>
        <w:rPr>
          <w:rFonts w:ascii="Times New Roman" w:cs="Times New Roman" w:eastAsia="Times New Roman" w:hAnsi="Times New Roman"/>
          <w:sz w:val="18"/>
          <w:szCs w:val="18"/>
          <w:color w:val="auto"/>
        </w:rPr>
      </w:pPr>
    </w:p>
    <w:p>
      <w:pPr>
        <w:ind w:left="12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authorities as of the date of this annual report; (vi) we have not been subject to any administrative penalties regarding cybersecurity or data security issues as of the date of this annual report; and (vii) we have not been a party to any litigation or arbitration regarding with cybersecurity or data security issues as of the date of this annual report. As advised by Shihui Partners, our PRC counsel, as of the date of this annual report, we are not subject to any cybersecurity review under the cybersecurity laws and regulations.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As of the date of this annual report, we have not been involved in any investigations on data security compliance made in connection with the PRC Data Security Law, and we have not received any inquiry, notice, warning, or sanctions in such respect. Based on the foregoing, we do not expect that, as of the date of this annual report, the PRC Data Security Law would have a material adverse impact on our business.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6, 2021, the relevant PRC governmental authorities published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annual report, we have not received any inquiry, notice, warning, or sanctions from the CSRC or any other PRC government authorities in this regard. Based on the foregoing and the currently effective PRC laws, we and our PRC legal counsel, Shihui Partners, are of the view that, as of the date of this annual report, these opinions do not have a material adverse impact on our business.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and five related guidelines, collectively, the Overseas Listing Trial Measures, which became effective on March 31, 2023. The Overseas Listing Trial Measures regulate both direct and indirect overseas offering and listing of PRC domestic companies’ securities by adopting a filing-based regulatory regime. Pursuant to the Overseas Listing Trial Measures, initial public offering or listings in overseas markets shall be filed with the CSRC within three working days after the relevant application is submitted overseas. Furthermore, it is stipulated, among others, that an overseas offering and listing shall be prohibited under any of the following circumstances: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PRC domestic company intending to make the securities offering and listing, or its controlling shareholders and the actual controller, have committed crimes such as corruption, bribery, embezzlement, misappropriation or property or undermining the order of the socialist market economy during the last three years; (iv) where the PRC domestic company intending to make the securities offering and listing is suspected of committing crimes or major violations of laws and regulations, and is under investigation according to law, and no conclusion has been made thereof; (v) where there are material ownership disputes over equity held by the PRC domestic company’s controlling shareholder or by other shareholders that are controlled by the controlling shareholder and/or actual controller. The Overseas Listing Trial Measures also provide that any overseas offering and listing made by an issuer that meets both the following conditions will be determined as indirect overseas offering and listing of PRC domestic companies: (i) 50% or more of the issuer’s operating revenue, total profit, total assets or net assets as documented in its audited consolidated financial statements for the most recent accounting year is accounted for by PRC domestic companies; and (ii) the main parts of the issuer’s business activities are conducted in Chinese mainland, or its main places of business are located Chinese mainland, or the senior management personal in charge of its business operation and management are mostly Chinses citizens or domiciled in Chinese mainland. On February 17, 2023, the CSRC issued the Notice on the Administrative Arrangements for the Filing of Overseas Listings by Domestic Enterprises. The CSRC clarified that on March 31, 2023, the effective date of the Overseas Listing Trial Measures, the PRC domestic companies that have been listed overseas by March 31, 2023 are not required to file immediately, and filing should be made as required if they involve refinancing and other filing matters. As the requirements under Overseas Listing Trial Measures are new and evolving, there remains substantial uncertainties as to their interpretation and implementation and how they may impact our ability to raise or utilize fund and business operation. In particular, there are uncertainties as to the form and substance of regulatory requirements and we cannot assure you that, when required, we can complete the requisite filing with such form and content satisfactory to the relevant regulators in a timely manner. Any delays in completing the filing requirements may adversely affect our ability to complete our capital raising activities from the capital markets in the future.</w:t>
      </w:r>
    </w:p>
    <w:p>
      <w:pPr>
        <w:spacing w:after="0" w:line="20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our ability to accept foreign investments and conduct follow-on offerings, and listing or continuing listing on a U.S. or other foreign exchanges. In addition, the PRC government has recently published new policies that significantly affected certain industries such as the education and internet industries, and we cannot rule out the possibility that it will in the future release regulations or policies regarding any other industry including the industry in which we operate, which could adversely affect our business, financial condition and results of operations.</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of the economic and political risks associated with emerging markets due to our operation in China. Adverse changes in the Chinese or global economic, political and social conditions as well as government policies could adversely affect our business and prospects.</w:t>
      </w:r>
    </w:p>
    <w:p>
      <w:pPr>
        <w:spacing w:after="0" w:line="5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majority of our operations are in China, one of the world’s largest emerging markets. In light of our operations in an emerging market, we may be subject to risks and uncertainties including fluctuation in GDP, unfavorable or unpredictable treatment in relation to tax matters,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w:t>
      </w:r>
    </w:p>
    <w:p>
      <w:pPr>
        <w:spacing w:after="0" w:line="168"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and aimed at reducing the state ownership of productive assets and establishing improved corporate governance in business enterprises, a substantial portion of China’s productive assets are still owned by the government.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the PRC government continues to play a significant role in regulating development through industrial policies. The PRC government exercises significant control over China’s economic growth through its allocation of resources, control of payment of foreign currency-denominated obligations, monetary policy, and preferential treatment for particular industries or companies. The enforcement of laws, the interpretation of rules and regulations and the direction of government policies can change drastically and quickly with little advance notice but with material and adverse effects for the relevant industries and companies. The Chinese government may also intervene or influence over the companies’ operations, including companies that are listed overseas like us, to a significant extent at any time with little advance notice. It may also exert more control over offerings conducted overseas or foreign investments in China-based issuers like us, including disallowing he VIE structure. Any actions by the Chinese government to exert more oversight and control over securities that are listed overseas by China-based companies, or over foreign investment in China-based issuers, could significantly limit or completely hinder our ability to continue to offer securities to investors and cause the value of such securities to significantly decline or be worthless. The occurrence of any of the foregoing can result in a material change in our business operations and a material and adverse impact on the value of our ADSs.</w:t>
      </w:r>
    </w:p>
    <w:p>
      <w:pPr>
        <w:spacing w:after="0" w:line="192"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w:t>
      </w:r>
    </w:p>
    <w:p>
      <w:pPr>
        <w:spacing w:after="0" w:line="168"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These measures may cause decreased economic activity in China, and, since 2012, the Chinese economy has slowed down. Any prolonged slowdown in the Chinese economy may reduce the demand for our services and adversely affect our business and results of operations.</w:t>
      </w:r>
    </w:p>
    <w:p>
      <w:pPr>
        <w:spacing w:after="0" w:line="24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global geopolitical tension, particularly with regard to Sino-U.S. political and economic relations, may adversely impact our business, financial condition, and results of operations.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Recently there have been heightened tensions in international political, trade and economic relations, as countries could enact sanctions, export controls, tariffs, investment controls or other measures, in particular, between the United States and China. For example, the U.S. government has recently, through several rounds of increases, imposed higher tariffs on a wide range of goods imported from multiple countries. The tariff increases on goods from China are particularly high, with most goods subject to tariffs of 145% since April 9, 2025. China responded to the U.S. actions with retaliatory tariffs on most U.S. goods of 125% from April 12, 2025; China also implemented export restrictions on certain critical minerals and related products. On May 12, 2025, following bilateral negotiations, China and the United States announced a 90-day suspension for most of these higher tariffs levied on each other’s goods, during which the U.S. will continue a 30% tariff on Chinese imports and China will keep a 10% tariff on U.S. goods. This suspension was further extended by the two countries for an additional 90 days until November 10, 2025. Following the two countries’ trade negotiations on October 30, 2025, the U.S. agreed to suspend for one year a 24% reciprocal tariff on Chinese products and reduce the fentanyl-related tariff on Chinese products by 10%. In addition, China agreed to adjust its counter measures related to the above U.S. tariffs, and the two countries agreed to continue extending certain tariff exemptions. On February 20, 2026, the U.S. Supreme Court held that the International Emergency Economic Power Act does not authorize the President to impose tariffs, including the reciprocal and fentanyl-related tariffs. Effective from February 24, 2026, the U.S. customs authority will cease to collect these tariffs. Meanwhile, President Trump issued a proclamation to impose a temporary import surcharge of 10% on all imports to the U.S. effective from February 24, 2026 for a period of 150 days, and later announced this tariff rate would be 15% (the rate of the actual import surcharge may vary, subject to the modification of the relevant rules to effectuate the collection of such surcharge).</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These tariffs and other trade restrictions are expected to reduce trade volumes, cross-border investment, technological exchange, and other economic activities between major economies, and have a material adverse effect on global economic conditions and the stability of global financial and stock markets. The increases in tariffs may increase the costs we incur to purchase imported reagents and laboratory equipment. Moreover, the heightened geopolitical uncertainty and potential for further escalation may discourage investments in securities issued by China-based issuers (including us) and affect the global macroeconomic environment. Although cross-border trade is not our principal business, these types of geopolitical developments could materially and adversely affect our overall financial performance and the market prices of our ADSs and ordinary shares. In addition, as a biotechnology company with operations primarily based in China, our international expansion plan to commercialize our products and services in, and export our products and services to, the U.S. could be adversely affected by these or future trade developments.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In addition, the U.S. government has imposed various economic and trade sanctions directly or indirectly affecting China-based technology companies. These types of laws and regulations are subject to frequent changes, and the interpretation and enforcement involves substantial uncertainties, which may be heightened by national security concerns, or be driven by political or other factors that are out of our control. These types of restrictions, and similar or more expansive restrictions that may be imposed by the U.S. or other jurisdictions, may be difficult or costly to comply with and may materially and adversely affect our and our technology partners’ abilities to acquire technologies, systems, devices or components that may be critical to our technology infrastructure, service offerings and business operations. The U.S. government has also released, and is contemplating to release additional, rules that aim at protecting its national security interests and impose curbs on, including but not limited to, sanctions, export controls and investment restrictions targeting China. The U.S. and various other governments have imposed controls, licensing requirements and restrictions on transfers of technologies and products that fall within U.S. jurisdiction. In particular, the U.S. government has significantly expanded export controls toward China and has placed certain entities, including an incoming number of entities in China, on the U.S. Department of Commerce Bureau of Industry Standard’s Entity List, which imposes licensing requirements, which typically operate as bans, for exports or transfers of items on lists of controlled items maintained by the U.S. government. We currently source some of our reagents and laboratory equipment from vendors based in the U.S. The U.S. government may prohibit these companies from doing business with Chinese companies and the Chinese government may implement countermeasures. For example, on March 4, 2025, one of our sequencing platform suppliers in the U.S. was placed on the unreliability entity list by MOFCOM and was restricted from exporting its products to China. We have discontinued purchasing from this supplier and we currently do not expect our business operations to be significantly interrupted by this incident. However, if such restrictive countermeasures were to continue and involve more of our suppliers, we may be required to seek substitute suppliers and may face higher costs and expenses in our supply chain, which could adversely affect our operations. On the other hand, legislative or administrative actions in respect of Sino-U.S. relations could increase investor caution towards issuers, including us, and the market price of our ADSs could be adversely affected. For example, the SEC has issued statements primarily focused on companies with significant China-based operations. Beginning in December 2020, the United States imposed sanctions on certain Chinese companies that prohibit U.S. persons from buying or selling the publicly traded securities of these companies as well as securities that are derivatives of or provide investment exposure to these companies. The implementation of these restrictions forced the delisting of those sanctioned issuers that were then listed on U.S. exchanges. The U.S. government designated these companies as “China Military-Industrial Complex Companies,” or CMIC Companies, based on their purported links to the Chinese military or Chinese military infrastructure or capabilities. More recently, during an April 9, 2025 television interview, in response to a journalist’s question on whether the U.S. government could include possible delistings of Chinese companies from U.S. exchanges as a possible step the United States could take in its ongoing trade disputes with China, U.S. Secretary of Treasury, Scott Bessent, declined to exclude this possibility. If the U.S. government were to take such steps, it is not known how or when the U.S. government might implement such delistings or whether there would be any transition period or exceptions. If the U.S. government were to issue any order or otherwise require or cause the delisting of equity securities issued by China-based issuers, it could have a material adverse effect on the price of our ADSs. If our ADSs were to be delisted from the NYSE, our shareholders may suffer losses or be unable to trade our securities as a result. Furthermore, rather than just delisting our securities from the NYSE, the U.S. government could implement sanctions, such as those applicable to CMIC Companies, which apply to U.S. persons globally, which could even more significantly affect our shareholders, in particular U.S. persons, and the market price of our securities, including our Hong Kong Stock Exchange-listed ordinary shares.</w:t>
      </w:r>
    </w:p>
    <w:p>
      <w:pPr>
        <w:spacing w:after="0" w:line="20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Separately, we may also be subject to review and enforcement under domestic and foreign laws that screen foreign investment and acquisitions. In both the United States and non-U.S. jurisdictions, these regulatory requirements may treat companies differently based on the type of company in question and the location and nature of its operations. As a result, investments by particular investors may need to be filed with local regulators, which in turn may impose added costs on our business, impact our operations, and limit our ability to engage in strategic transactions that might otherwise be beneficial to us and our investors. These laws are also frequently changed and updated. For example, in October 2024, the U.S. Department of the Treasury issued a final rule (the “Outbound Investment Rule”), which imposes a new national security regulatory framework to control outbound investment from the United States in certain sensitive industry sectors in the China, including Hong Kong and Macau. The Outbound Investment Rule took effect in January 2025, and it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Subsequent to the effectiveness of the Outbound Investment Rule, on February 20, 2025, President Trump issued the America First Trade Policy Memorandum, which proposes possible expansion of the set of technologies of concern and a review of exceptions to the Rule, possibly including changes to the existing exception for publicly trades securities. On December 18, 2025, the Comprehensive Outbound Investment National Security Act of 2025 (the “COINS Act”), as part of the National Defense Authorization Act for 2026, became law. The COINS Act will supersede the Outbound Investment Rule following the adoption of implementing regulations, the content of which is uncertain. Although our current operations are not immediately subject to these rules, these rules, including any changes to them that may be adopted, may limit our ability to engage in certain kinds of business operations; they may also limit our ability to raise capital from U.S. and other sources if we engage in the development of technologies specified in these rules.</w:t>
      </w: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addition, on February 28, 2024, the United States released the Executive Order on Preventing Access to Americans’ Bulk Sensitive Personal Data and United States Government-Related Data by Countries of Concern, which places restrictions on the transfer of certain data from the U.S. to countries of concern, which include China (including Hong Kong and Macau). On January 8, 2025, the Department of Justice published its final rule to implement this executive order (the “Final Rule”). Under the Final Rule, sensitive bulk personal data include personal identifiers, personal financial data, personal health data, precise geolocation data, biometric identifiers, and human genomic data. The Final Rule prohibits certain data brokerage transactions and transactions involving human ‘omic data. The Final Rule also creates a set of restricted transactions involving vendor agreements, employment agreements, or investment agreements in which U.S. persons may engage only if they comply with a set of cybersecurity requirements. The Final Rule regulating data transactions that pose national security risks went into effect April 8, 2025, with additional compliance obligations for U.S. persons as defined engaging in relevant transactions being in place by October 6, 2025. On April 11, 2025, the National Security Division, or the NSD, issued a compliance guide together with implementation and enforcement policies regarding how it will assess compliance and approach enforcement of the Final Rule. We have established our operations in the United States over the past years and certain of our operations, including but not limited to clinical trials, enables us to access personal health and biological data of relevant patients. Currently, data collected and processed in the United Stated by us are only accessible by U.S persons as defined under the Final Rule. Data accessible by our laboratories located in China and the United States are stored separately. Due to the uncertainty as to the interpretation and implementation of this Final Rule, we have implemented comprehensive policies and procedures designed to ensure compliance with Executive Order 14117 and its implementing regulations within our U.S. operations. These measures include, among others, the establishment of controls requiring the collection and verification of geographic location and citizenship information prior to any sample or data transfer activities, as well as restrictions on access to sensitive data to U.S. persons as defined under the Final Rule. We have also adopted internal protocols governing the segregation, storage, and transfer of data between our U.S. and non-U.S. operations. Tracking and complying with these laws and regulations requires significant time and expenses and could materially affect our business. By way of example and without limitation, we may be required to update our contracts, clinical trial or testing protocols and privacy notices, or to review and change the practice how we access, collect and transfer personal information in the U.S. and China. Failure to comply with the Final Rule, other laws and rules that have been or may be implemented relating to cross-border data transfers may result in suspension of the relevant business, significant amounts of fines and other administrative penalties, regulatory investigations and actions against us, significant damage to our reputation or even criminal liabilities.</w:t>
      </w:r>
    </w:p>
    <w:p>
      <w:pPr>
        <w:spacing w:after="0" w:line="20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policies and measures directed at China and Chinese companies could discourage U.S. persons in general and organizations to work for, provide services to or cooperate with Chinese companies, which could hinder our ability to hire or retain qualified personnel and find suitable partners for our business. Furthermore, the adoption by the U.S. government of these policies and measures against Chinese companies could negatively affect certain investors’ sentiment towards our ADSs and their willingness to invest in or hold our ADSs, which may in turn have a negative impact on the trading price of our ADSs in both the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enforcement of PRC laws, rules and regulations.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 and its subsidiaries in Chinese mainland. Our operations in Chinese mainland are governed by the laws and regulations of Chinese mainland. Our subsidiaries are generally subject to laws and regulations applicable to foreign investments in Chinese mainland.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particular, PRC laws and regulations concerning the cancer genotyping industry are developing and evolving. Because certain laws and regulations are relatively new, and because of the limited volume of published decisions and their nonbinding nature, the interpretation and enforcement of these laws and regulations involve uncertainties. Although we have taken measures to comply with the laws and regulations applicable to our business operations and to avoid conducting any non-compliant activities under these laws and regulations, the PRC governmental authorities may promulgate new laws and regulations regulating cancer genotyping industries, some of which may have a retroactive effect. We cannot assure you that our business operations would not be deemed to violate any such new PRC laws or regulations. Moreover, developments in the cancer genotyping industry may lead to changes in PRC laws, regulations and policies or in the interpretation and application of existing laws, regulations and policies, which in turn may limit or restrict us, and could adversely affect our business and operations.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have to rely on administrative and court proceedings to enforce our legal rights. The PRC legal system is a civil law system based on written statutes. Since the late 1970s, the PRC government has promulgated laws and regulations dealing with economic matters, such as foreign investment, corporate organization and governance, commerce taxation and trade, with a view towards developing a comprehensive system of commercial law. However, as many of these laws and regulations are relatively new and continue to evolve, the interpretation and enforcement of these laws and regulations may change from time to time. As a result, we may be required by the regulators to obtain or renew the licenses, permits, approvals, to complete additional filings or registrations for the products and services we offer, or to modify business practices that may subject us to various penalties, including criminal penalties for individual and entity. In addition, certain administrative and court proceedings in Chinese mainland may result in substantial costs and diversion of resources and management attention. These types of uncertainties, including uncertainty over the scope and effect of our contractual, property (including intellectual property) and procedural rights, and any failure to respond to changes in the regulatory environment in China, could adversely affect our business and impede our ability to continue our operations, result in substantial costs and diversion of resources and management attention, and may further affect the legal remedies and protections available to investors, which may, in turn, adversely affect the value of your investment.</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“PRC resident enterprise” for PRC enterprise income tax purposes, which could result in unfavorable tax consequences to us and our non-PRC shareholders or ADS holders.</w:t>
      </w:r>
    </w:p>
    <w:p>
      <w:pPr>
        <w:spacing w:after="0" w:line="4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within the PRC is considered a resident enterprise and will be subject to enterprise income tax on its global income at the rate of 25%. The related implementation rules define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the body that exercises full and substantial control over, and overall management of, the business, productions, personnel, accounts and properties of an enterprise. In April 2009, the State Administration of Taxation, or the SAT, issued a circular, known as Circular 82, which provides certain specific criteria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 PRC-controlled enterprise that is incorporated offshore is located in China. Although Circular 82 only applies to offshore enterprises controlled by PRC enterprises or PRC enterprise groups, not those controlled by PRC individuals or foreigners, the criteria set forth in Circular 82 may reflect the SAT’s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test should be applied in determining the tax resident status of all offshore enterprises. According to Circular 82, an offshore-incorporated enterprise controlled by a PRC enterprise or a PRC enterprise group will be regarded as a PRC tax resident by virtue of having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in China. It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substantially all of our management members are based in China, it remains unclear how the tax residency rule would apply in our case. If the PRC tax authorities determine that we or any of our subsidiaries outside of China is a PRC resident enterprise for PRC enterprise income tax purposes, then we or such subsidiary could be subject to PRC tax at a rate of 25% on its worldwide income, which could reduce our net income. In addition, we would also be subject to PRC enterprise income tax reporting obligations. Furthermore, if the PRC tax authorities determine that we are a PRC resident enterprise for enterprise income tax purposes, dividends paid by us and gains realized on the sale or other disposition of our ordinary shares or ADSs may be subject to PRC tax, at a rate of 10% in the case of non-PRC enterprises or 20% in the case of non-PRC individuals (in each case, subject to the provisions of any applicable tax treaty), if such dividends and gains are deemed to be from PRC sources. It is unclear whether non-PRC shareholders of our company, including the holders of our ADSs, would be able to claim the benefits of any tax treaties between their country of tax residence and the PRC in the event that we are treated as a PRC resident enterprise. Any such tax may reduce the returns on your investment in our ADSs.</w:t>
      </w:r>
    </w:p>
    <w:p>
      <w:pPr>
        <w:spacing w:after="0" w:line="29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from our subsidiaries in China to fund our cash and financing requirements, and any limitation on the ability of our subsidiaries to make payments to us could adversely affect our ability to conduct our business.</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holding company, we conduct most of our business through our subsidiaries, the VIE and its subsidiaries incorporated in China. We may rely on dividends paid by our PRC subsidiaries for our cash requirements, including the funds necessary to pay any dividends and other cash distributions to our shareholders, to service any debt we may incur and to pay our operating expenses.</w:t>
      </w:r>
    </w:p>
    <w:p>
      <w:pPr>
        <w:sectPr>
          <w:pgSz w:w="11900" w:h="16838" w:orient="portrait"/>
          <w:cols w:equalWidth="0" w:num="1">
            <w:col w:w="11120"/>
          </w:cols>
          <w:pgMar w:left="320" w:top="482" w:right="459" w:bottom="1440" w:gutter="0" w:footer="0" w:header="0"/>
        </w:sect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payment of dividends by entities established in China is subject to limitations. Regulations in China currently permit payment of dividends only out of accumulated profits as determined in accordance with accounting standards and regulations in China. As a result, our PRC subsidiaries are restricted in their ability to transfer a portion of their net assets to us in the form of dividends. Furthermore, the ability of our WFOE to pay dividends and other distributions on equity also depends on the payment it receives from the VIE as service fees pursuant to certain contractual arrangements among our WFOE, the VIE and its shareholders entered into to comply with certain restriction under PRC law on foreign investment.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adversely limit our ability to grow, make investments or acquisitions that could be beneficial to our business, pay dividends and otherwise fund and conduct our business.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PRC subsidiaries generate primarily all of their revenues in Renminbi, which is not freely convertible into other currencies. As a result, any restriction on currency exchange may limit the ability of our PRC subsidiaries to use their Renminbi revenues to pay dividends to us. Historically, in response to the persistent capital outflow and the Renminbi’s depreciation against the U.S. dollar in 2016, the People’s Bank of China, or the PBOC, and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our PRC subsidiary’s dividends and other distributions may be subjected to tighter scrutiny. Any limitation on the ability of our PRC subsidiary to pay dividends or make other distributions to us could adversely limit our ability to grow, make investments or acquisitions that could be beneficial to our business, pay dividends, or otherwise fund and conduct our business.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the EIT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an adverse effect on our results of operations and the value of your investment.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Substantially all of our revenues and costs are denominated in Renminbi. We are a holding company and we rely on dividends paid by our operating subsidiaries in China for our cash requirements. 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spacing w:after="0" w:line="18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control of foreign currency conversion may limit our foreign exchange transactions, including dividend payments on our ordinary shares.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company in the Cayman Islands relies on dividend payments indirectly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However, approval from or registration with appropriate governmental authorities or commercial banks authorized by such authorities is required where Renminbi is to be converted into foreign currency and remitted out of China to pay capital expenses, such as the repayment of loans denominated in foreign currencies.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light of strong capital outflows from China in 2016, the PRC government has imposed more restrictive foreign exchange policies and stepped up its scrutiny of major outbound capital movements. More restrictions and substantial vetting processes have been put in place by SAFE to regulate cross-border capital account transactions. The PRC government may at its discretion further restrict access to foreign currencies in the future for current account transactions. If the foreign exchange control system prevents us from obtaining sufficient foreign currencies to satisfy our foreign currency demands, we may not be able to pay dividends in foreign currencies to our shareholders.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Furthermore, as the interpretation and implementation of these foreign exchange regulations has been constantly evolving, it is unclear how these regulations, and any future regulations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93" w:lineRule="exact"/>
        <w:rPr>
          <w:sz w:val="20"/>
          <w:szCs w:val="20"/>
          <w:color w:val="auto"/>
        </w:rPr>
      </w:pPr>
    </w:p>
    <w:p>
      <w:pPr>
        <w:ind w:left="12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PRC regulation of loans to and direct investments in PRC entities by offshore holding companies may delay or prevent us from making loans or additional capital contributions to our subsidiaries, which could adversely affect our liquidity and our ability to fund and expand our business.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holding company, we conduct most of our business through our subsidiaries, the VIE and its subsidiaries incorporated in China. We may make loans to our PRC subsidiaries or we may make additional capital contributions to our wholly foreign-owned subsidiaries in China. Any loans by us to our wholly foreign-owned subsidiaries in China to finance their activities cannot exceed statutory limits and must be registered with the local counterpart of SAFE. In addition, a foreign invested enterprise is required to use its capital pursuant to the principle of authenticity and self-use within its business scope.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March 2015, SAFE promulgated the Circular on Reforming the Administration Measures on Conversion of Foreign Exchange Registered Capital of Foreign-invested Enterprises, or SAFE Circular 19, which took effect and replaced certain previous SAFE regulations from June 1, 2015. SAFE further promulgated the Circular on Reforming and Regulating Policies on the Control over Foreign Exchange Settlement of Capital Accounts, or SAFE Circular 16, which took effect on June 9, 2016 and, among other things, amended certain provisions of SAFE Circular 19.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According to SAFE Circular 19 and SAFE Circular 16, the flow and use of the Renminbi capital converted from foreign currency-denominated registered capital of a foreign-invested company is regulated such that Renminbi capital may not be used for business beyond its business scope, or to provide loans to persons other than affiliates, unless otherwise permitted under its business scope. SAFE Circular 19 and SAFE Circular 16 may limit our ability to transfer the net proceeds from our initial public offering, the concurrent private placement and our follow-on offering to our PRC subsidiaries and convert the net proceeds into RMB.</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future capital contributions by us to our wholly foreign-owned subsidiaries in China. As a result, uncertainties exist as to our ability to provide prompt financial support to our PRC subsidiaries when needed. If we fail to complete such registrations or obtain such approvals, our ability to use the proceeds we received from our initial public offering and the concurrent private placement and to capitalize or otherwise fund our PRC operations may be negatively affected, which could adversely affect our liquidity and our ability to fund and expand our business.</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M&amp;A Rules and some other regulations and rules concerning mergers and acquisitions, have established complex procedures and requirements that restrict merger and acquisition activities by foreign investors. For example, when a foreign investor takes control of a PRC enterprise, it must notify MOFCOM in advance of such change-of-control transaction. Moreover, the Anti-Monopoly Law requires that the anti-trust governmental authority be notified in advance of any concentration of undertaking if certain thresholds are triggered. The security review rules issued by MOFCOM, which became effective in September 2011, specify that certain mergers and acquisitions by foreign investors, for example those that raise “national defense and security” concerns or through which foreign investors may acquire de facto control over domestic enterprises and therefore raise “national security” concerns, are subject to its review. Those rules prohibit any activities attempting to bypass security review, for example by structuring a transaction through a proxy or contractual control arrangements. We may grow our business by acquiring other companies operating in our industry. Complying with the requirements of the regulations described above and other relevant rules to complete these transactions could be time-consuming, and any required approval processes, including obtaining approval from MOFCOM or its local counterparts, may delay or inhibit our ability to complete these transactions, which could affect our ability to expand our business or maintain our market share. Furthermore, according to the M&amp;A Rules, if a PRC entity or individual plans to merger or acquire its related PRC entity through an overseas company legitimately incorporated or controlled by such entity or individual, such a merger and acquisition will be subject to examination and approval by MOFCOM. The application and interpretations of M&amp;A Rules are still uncertain, and there is possibility that the relevant PRC regulators may promulgate new rules or explanations requiring that we obtain approval of MOFCOM for our completed or ongoing mergers and acquisitions. There is no assurance that we can obtain MOFCOM approval for our mergers and acquisitions, and if we fail to obtain those approvals, we may be required to suspend our acquisition and be subject to penalties. Any uncertainties regarding such governmental approval requirements could have an adverse effect on our business, results of operations and corporate structure.</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Pursuant to the Notice on Strengthening Administration of Enterprise Income Tax for Share Transfers by Non-PRC Resident Enterprises, or Circular 698, issued by the SAT, which became effective retroactively as of January 1, 2008, if a non-resident enterprise investor transfers equity interest in a PRC resident enterprise indirectly by way of disposing of equity interest in an overseas holding company, the non-resident enterprise investor, being the transferor, may be subject to PRC enterprise income tax, if the indirect transfer is considered to be an abusive use of company structure without reasonable commercial purposes. As a result, gains derived from such indirect transfers may be subject to PRC withholding tax at a rate of up to 10%. In addition, the relevant PRC resident enterprise may be required to provide necessary assistance to support the enforcement of Circular 698.</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On February 3, 2015, the SAT issued a Public Notice Regarding Certain Corporate Income Tax Matters on Indirect Transfer of Properties by Non-Tax Resident Enterprises, or Public Notice 7. Public Notice 7 introduces a new tax regime that is significantly different from Circular 698. Public Notice 7 extends tax jurisdiction to not only indirect transfers set forth under Circular 698 but also to transactions involving the transfer of other taxable assets made through the offshore transfer of a foreign intermediate holding company. In addition, Public Notice 7 provides clearer criteria than Circular 698 on how to assess reasonable commercial purposes and has introduced safe harbors for internal group restructurings and the purchase and sale of equity through a public securities market. Public Notice 7 has new requirements for both foreign transferors and the transferees (or other person who is obligated to pay for the transfer) of the taxable assets. If a non-resident enterprise conducts an “indirect transfer” by transferring the taxable assets indirectly by disposing of the equity interest of an overseas holding company, then the non-resident enterprise, as the transferor, or the transferee or the PRC entity, which directly owned the taxable assets, must report to the relevant tax authority such indirect transfer. As a result, gains derived from such indirect transfer may be subject to PRC enterprise income tax, and the transferee or other person who is obligated to pay for the transfer is obligated to withhold the applicable taxes, currently at a rate of up to 10% for the transfer of equity interest in a PRC resident enterprise. Both the transferor and the transferee may be subject to penalties under PRC tax laws if the transferee fails to withhold the taxes and the transferor fails to pay the taxes.</w:t>
      </w:r>
    </w:p>
    <w:p>
      <w:pPr>
        <w:spacing w:after="0" w:line="1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October 17, 2017, the SAT issued a Public Notice on Issues Concerning the Withholding of Non-resident Enterprise Income Tax at Source, or Public Notice 37, which, among others, repealed the Circular 698 on December 1, 2017. Public Notice 37 further details and clarifies the tax withholding methods in respect of income of non-resident enterprises under Circular 698. And certain rules stipulated in Public Notice 7 are replaced by Public Notice 37. Where the non-resident enterprise fails to declare the tax payable pursuant to Article 39 of the Enterprise Income Tax Law, the tax authority may order it to pay the tax due within required time limits, and the non-resident enterprise is required to declare and pay the tax payable within such time limits specified by the tax authority; however, if the non-resident enterprise voluntarily declares and pays the tax payable before the tax authority orders it to do so within required time limits, it will be deemed that such enterprise has paid the tax in time.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We may be subject to filing obligations or taxed if we are the transferor in such transactions, and we may be subject to withholding obligations if we are the transferee in such transactions, under Public Notice 7 and Public Notice 37. For transfer of shares in our company by investors who are non-PRC resident enterprises, our PRC subsidiary may be requested to assist in the filing under Public Notice 7 and Public Notice 37. As a result, we may be required to expend valuable resources to comply with Public Notice 7 and Public Notice 37 or to request the relevant transferors from whom we purchase taxable assets to comply with these notices, or to establish that our company should not be taxed under these notices, which may have an adverse effect on our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transfer of our ADSs.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Under the EIT Law and its implementation rules, PRC withholding tax at the rate of 10% is generally applicable to dividends from PRC sources paid to investors that are resident enterprises outside of China and that do not have an establishment or place of business in China, or that have an establishment or place of business in China but the relevant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substantially all of our business operations are in China, it is unclear whether the dividends we pay with respect to our shares or ADSs, or the gains realized from the transfer of our shares or ADSs, would be treated as income derived from sources within China and as a result be subject to PRC income tax if we are considered a PRC resident enterprise. If PRC income tax is imposed on gains realized through the transfer of our ADSs or on dividends paid to our non-resident investors, the value of your investment in our ADSs may be adversely affected. Furthermore, our shareholders whose jurisdictions of residence have tax treaties or arrangements with China may not qualify for benefits under these tax treaties or arrangements.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pursuant to the Double Tax Avoidance Arrangement between Hong Kong and China, or the Double Tax Avoidance Treaty, and the Notice on Certain Issues with Respect to the Enforcement of Dividend Provisions in Tax Treaties, or the Notice on Tax Treaties, issued on February 20, 2009 by the SAT, if a Hong Kong resident enterprise owns more than 25% of the equity interest of a PRC company at all times during the twelve-month period immediately prior to obtaining a dividend from such company, the 10% withholding tax on such dividend is reduced to 5%, provided that certain other conditions and requirements under the Double Tax Avoidance Treaty and other applicable PRC laws are satisfied at the discretion of the relevant PRC tax authority. However, based on the Notice on Tax Treaties, if the relevant PRC tax authorities determine, in their discretion, that a company benefits from such reduced income tax rate due to a structure or arrangement that is primarily tax-driven, the PRC tax authorities may adjust the preferential tax treatment. Based on the Notice on Issues concerning Beneficial Owner in Tax Treaties, or Circular 9, issued on February 3, 2018 by the SAT and effective on April 1, 2018, when determining the applicant’s status as a “beneficial owner” for purpose of tax treatments in connection with dividends, interests or royalties in the tax treaties, several factors will be taken into account, and it will be analyzed according to the actual circumstances of the specific cases. If our Hong Kong subsidiary is determined by PRC government authorities as receiving benefits from reduced income tax rates due to a structure or arrangement that is primarily tax-driven, the dividends paid by our PRC subsidiaries to our Hong Kong subsidiary will be taxed at a higher rate, which will have an adverse effect on our financial and operational conditions.</w:t>
      </w:r>
    </w:p>
    <w:p>
      <w:pPr>
        <w:spacing w:after="0" w:line="291"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penalties, including restrictions on our ability to inject capital into our PRC subsidiaries and on our PRC subsidiaries’ ability to distribute profits to us, if our PRC resident shareholders or beneficial owners fail to comply with relevant PRC foreign exchange regulations.</w:t>
      </w:r>
    </w:p>
    <w:p>
      <w:pPr>
        <w:spacing w:after="0" w:line="28"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SAFE has promulgated several regulations that require PRC residents and PRC corporate entities to register with and obtain approval from local branches of SAFE in connection with their direct or indirect offshore investment activities. The Circular on Relevant Issues Relating to Domestic Resident’s Investment and Financing and Roundtrip Investment through Special Purpose Vehicles, or SAFE Circular 37, was promulgated by SAFE in July 2014. SAFE Circular 37 requires PRC residents or entities to register with SAFE or its local branch in connection with their establishment, or control of an offshore entity established, for the purpose of overseas investment or financing. According to the Circular of Further Simplifying and Improving the Policies of Foreign Exchange Administration Applicable to Direct Investment released in February 2015 by SAFE, local banks will examine and handle foreign exchange registration for overseas direct investment, including the initial foreign exchange registration and amendment registration, under SAFE Circular 37 from June 2015. These regulations apply to our shareholders who are PRC residents and may also apply to any offshore acquisitions or investments that we make in the future.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these foreign exchange regulations, PRC residents who make, or have previously made, prior to the implementation of these foreign exchange regulations, direct or indirect investments in offshore companies are required to register those investments. In addition, any PRC resident who is a direct or indirect shareholder of an offshore company is required to update its previously filed SAFE registration, to reflect any material change involving its round-trip investment. If any PRC shareholder fails to make the required registration or update the previously filed registration, the PRC subsidiary of that offshore parent company may be restricted from distributing their profits and the proceeds from any reduction in capital, share transfer or liquidation to their offshore parent company, and the offshore parent company may also be restricted from injecting additional capital into its PRC subsidiary. Moreover, failure to comply with the various foreign exchange registration requirements described above could result in liability under PRC laws for evasion of applicable foreign exchange restrictions, including (i) the requirement by SAFE to return the foreign exchange remitted overseas or into the PRC within a period of time specified by SAFE, with a fine of up to 30% of the total amount of foreign exchange remitted overseas or into PRC and deemed to have been evasive or illegal and (ii) in circumstances involving serious violations, a fine of no less than 30% of and up to the total amount of remitted foreign exchange deemed evasive or illegal.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committed to complying with and to ensuring that our shareholders who are subject to these regulations will comply with the relevant SAFE rules and regulations. However, due to the inherent uncertainty in the implementation of the regulatory requirements by the PRC authorities, such registration might not be always practically available in all circumstances as prescribed in those regulations. In addition, we may not always be able to compel them to comply with SAFE Circular 37 or other related regulations. We cannot assure you that SAFE or its local branches will not release explicit requirements or interpret the relevant PRC laws and regulations otherwise. In addition, we may not be fully informed of the identities of all our shareholders or beneficial owners who are PRC residents, and we cannot provide any assurance that all of our shareholders and beneficial owners who are PRC residents will comply with our request to make, obtain or update any applicable registrations or comply with other requirements under SAFE Circular 37 or other related rules in a timely manner.</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Because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relevant governmental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This may restrict our ability to implement our acquisition strategy and could adversely affect our business and prospects.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our employee share incentive plans or share option plans may subject plan participants, who are PRC residents, or us to fines and other legal or administrative sanctions.</w:t>
      </w:r>
    </w:p>
    <w:p>
      <w:pPr>
        <w:spacing w:after="0" w:line="5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In February 2012, SAFE promulgated the Notices on Issues Concerning the Foreign Exchange Administration for Domestic Individuals Participating in Stock Incentive Plans of Overseas Publicly-Listed Companies, or SAFE Circular 7. SAFE Circular 7 and other relevant rules and regulations require PRC residents who participate in a stock incentive plan in an overseas publicly tradeable company to register with SAFE or its local branches or the banks and complete certain other procedures. Participants in a stock incentive plan who are PRC residents must retain a qualified PRC agent to conduct the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PRC agent must amend the SAFE registration with respect to the plan within three months if there is any material change to the stock incentive plan, the PRC agent, or the overseas entrusted institution, or if there are any other material changes in the plan. In addition, SAFE Circular 37 and other relevant rules and regulations stipulate that PRC residents who participate in a share incentive plan of an overseas non-publicly tradeable special purpose company must register with SAFE or its local branches or the banks before they exercise the share options. We and our PRC employees who have been granted share options and restricted shares are subject to these regulations. As of the date of this annual report, we are in the process of applying for such registration under SAFE Circular 7. Failure of our PRC share option holders or restricted shareholders to complete their SAFE registrations may subject them to fines and legal sanctions, and may also limit our ability to contribute additional capital into our PRC subsidiary, limit our PRC subsidiary’s ability to distribute dividends to us, or otherwise adversely affect our business.</w:t>
      </w:r>
    </w:p>
    <w:p>
      <w:pPr>
        <w:spacing w:after="0" w:line="18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SAT has also issued rules and regulations concerning employee share incentives. Under these rules and regulations, our employees working in the PRC will be subject to PRC individual income tax upon exercise of the share options and/or grant of the restricted shares. Our PRC subsidiaries have obligations to file documents with respect to the granted share options and/or restricted shares with relevant tax authorities and to withhold individual income taxes for their employees upon exercise of the share options and/or grant of the restricted shares. If our employees fail to pay or we fail to withhold their individual income taxes according to relevant rules and regulations, we may face sanctions imposed by the competent governmental authorities.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interests may be defective and our right to lease the properties affected by defects may be challenged, which could cause disruption to our business.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leased properties for our offices and branch offices in China. Under PRC laws, all lease agreements must be registered with the local housing authorities. As of the date of this annual report, we have completed the registration with the local housing authorities for a majority of our leased premises. Failure to complete these registrations may expose us to potential monetary fines up to RMB10,000 for each unregistered lease agreement.</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penalties under relevant PRC laws and regulations due to failure to be in full compliance with social insurance and housing provident fund regulation.</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According to the Social Insurance Law of the PRC promulgated in 2010 and most recently amended in 2018 and the Regulations on Management of Housing Provident Funds promulgated in 1999 and most recently amended in 2019, within a prescribed time limit, we need to register with the relevant social security authority and housing provident fund management center, and to open the relevant accounts and make full contributions for social insurance and housing funds for our employees, and this obligation cannot be delegated to any third party.</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contributions for some of our employees to the social insurance and housing funds may not have been in compliance with relevant PRC laws and regulations. Some of our subsidiaries or consolidated affiliated entities engaged third-party human resources agencies to pay social insurance and housing funds for some of their employees. As of the date of this annual report, none of these subsidiaries or consolidated affiliated entities had received any notice from the local authorities or any claim or request from these employees in this regard. Under the agreements entered into between the third-party human resources agencies and our relevant subsidiaries or consolidated affiliated entities, the third-party human resources agencies have the obligations to pay social insurance premium and housing provident funds for our relevant employees. However, if the human resource agencies fail to pay the social insurance or housing fund contributions for and on behalf of our employees as required under applicable PRC laws and regulations, we may be subject to penalties imposed by the local social insurance authorities and the local housing fund management centers for failing to discharge our obligations in relation to payment of social insurance and housing funds as an employer.</w:t>
      </w:r>
    </w:p>
    <w:p>
      <w:pPr>
        <w:spacing w:after="0" w:line="188"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On July 20, 2018, the General Office of the Central Committee of the Communist Party of China and the General Office of the State Council of the PRC issued the Reform Plan of the State Tax and Local Tax Collection Administration System, or the Tax Reform Plan. Under the Tax Reform Plan, commencing from January 1, 2019, tax authorities are responsible for the collection of social insurance contributions in the PRC. The effect of the Tax Reform Plan is still uncertain. We cannot assure that we will not be required to pay any deemed shortfalls or be subject to penalties or fines regarding social security insurance and housing provident funds contributions, any of which may have an adverse effect on our business and results of operations.</w:t>
      </w:r>
    </w:p>
    <w:p>
      <w:pPr>
        <w:spacing w:after="0" w:line="272"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our directors or our management named in this annual report based on foreign laws, and the ability of U.S. authorities to bring actions in China may also be limited.</w:t>
      </w:r>
    </w:p>
    <w:p>
      <w:pPr>
        <w:spacing w:after="0" w:line="6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we conduct substantially all of our operations in China and substantially all of our assets are located in China. In addition, most of our directors and senior executive officers are nationals or residents in China. As a result, it may be difficult for you to effect service of process upon us or those persons in China. It may also be difficult for you to enforce in the U.S. courts or courts of many other jurisdictions judgments obtained in the U.S. courts or courts of many other jurisdictions based on the civil liability provisions of the U.S. federal securities laws or the comparable laws of many other jurisdictions against us and our directors and officers who reside and whose assets are located in China. There is also uncertainty as to whether the courts of the Cayman Islands or the PRC would recognize or enforce judgments of the U.S. courts or courts of many other jurisdictions against us or such persons predicated upon the civil liability provisions of the securities laws of the U.S. or any state or comparable laws of many other jurisdictions.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China does not have any treaties or other forms of reciprocity with the U.S. and many other jurisdictions that provide for the reciprocal recognition and enforcement of judgments from the U.S. and many other jurisdictions.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U.S and many other jurisdictions. In addition, the SEC, the U.S. Department of Justice and other U.S. authorities and the comparable authorities from many other jurisdictions may also have difficulties in bringing and enforcing actions against us or our directors or officers in the PRC.</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Furthermore, shareholder claims that are common in the U.S.,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Relating to The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29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U.S. pursuant to which the PCAOB conducts regular inspections to assess its compliance with the applicable professional standards. The auditor is located in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previous determination issued on December 16, 2021 and removed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 Act in the future if the PCAOB is unable to inspect or investigate completely our current auditor. The delisting of the ADSs, or the threat of their being delisted, may materially and adversely affect the value of your investment.</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adopted Holding Foreign Companies Accountable Act on December 18, 2020, and it was amended by the Consolidated Appropriations Act, 2023 on December 17, 2022, (the amended act, the “HFCA Act”). The HFCA Act states if the SEC determines that we have filed audit reports issued by a registered public accounting firm that has not been subject to inspection by the PCAOB for two consecutive years, the SEC shall prohibit our securities, including our ADSs, from being traded on a U.S. national securities exchange, including the Nasdaq, or in the over-the-counter trading market in the U.S. On December 16, 2021, the PCAOB issued a report to notify the SEC of its determination that the PCAOB was unable to inspect or investigate completely registered public accounting firms headquartered in Chinese mainland and Hong Kong, including our auditor. In May 2022, the SEC conclusively listed us as a Commission-Identified Issuer under the HFCA Act following the filing of our annual report on Form 20-F for the fiscal year ended December 31, 2021. On December 15, 2022, the PCAOB issued a report that vacated its previous determination issued on December 16, 2021 and removed Chinese mainland and Hong Kong from the list of jurisdictions where it is unable to inspect or investigate completely registered public accounting firms. For this reason, we do not expect to be identified as a Commission Identified Issuer under the HFCA Act after we file this annual report on Form 20-F.</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amendments made to the HFCA Act, the PCAOB may determine that it is unable to inspect or investigate completely registered public accounting firms in any foreign jurisdictions because of positions taken by any foreign authority, rather than an authority in the location in which the firms are headquartered or in which they have a branch or office, as was the case under the original version of the Act.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be identified as a Commission Identified Issuer following the filing of the annual report on Form 20-F for the relevant fiscal year. In accordance with the HFCA Act, our securities would be prohibited from being traded on a national securities exchange or in the over-the-counter trading market in the United States if we are identified as a Commission Identified Issuer for two consecutive years in the future.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December 2012, the SEC instituted administrative proceedings against the Big Four PRC-based accounting firms in China, including our independent PCAOB-registered public accounting firm, alleging that these firms had violated U.S. securities laws and the SEC’s rules and regulations thereunder by failing to provide to the SEC the firms’ audit work papers with respect to certain other PRC-based companies that are publicly traded in the United States.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January 22, 2014, the initial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February 6, 2015, each of the four PRC-based accounting firms agreed to a censure and to pay a fine to the SEC to settle the dispute and avoid suspension of their ability to practice before the SEC and to audit US-listed companies. The settlement required the firms to follow detailed procedures and to seek to provide the SEC with access to Chinese firms’ audit documents via the CSRC. Under the terms of the settlement, the underlying proceeding against the four PRC-based accounting firms was deemed dismissed with prejudice four years after entry of the settlement. The four-year mark occurred on February 6, 2019. While we cannot predict if the SEC will further challenge the four PRC-based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affected. A determination that we have not timely filed financial statements in compliance with SEC requirements could ultimately lead to our delisting from the Nasdaq, deregistration from the SEC, or both, which would substantially reduce or effectively terminate the trading of our ADSs in the United States.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described above, depending upon the final outcome, listed companies in the United States with major China-based operations may find it difficult or impossible to retain auditors in respect of their operations in China, which could result in financial statements being determined not to be in compliance with the requirements of the Exchange Act, including possible delisting. Moreover, any negative news about any such future proceedings against these audit firms may cause investor uncertainty regarding China-based, U.S.-listed companies and the market price of our ADSs may be adversely affected.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to be not in compliance with the requirements of the Exchange Act. Such a determination could ultimately lead to the delisting of the ADSs from the Nasdaq or deregistration from the SEC, or both, which would substantially reduce or effectively terminate the trading of the ADSs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Hong Kong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enforcing judgments in Hong Kong.</w:t>
      </w:r>
    </w:p>
    <w:p>
      <w:pPr>
        <w:spacing w:after="0" w:line="121"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BR Hong Kong Limited, one of our subsidiaries incorporate in Hong Kong, wholly owns Guangzhou Burning Rock Biotech Limited, our WFOE. You may have difficulties in enforcing court judgments obtained in United States courts against our Hong Kong subsidiary, including judgments relating to the federal securities laws of the United States. There is also doubt as to whether courts in Hong Kong will enforce judgments of United States courts based only upon the civil liability provisions of the federal securities laws of the United States, or the securities laws of any state of the United States.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be political risks associated with having business connection with Hong Kong.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Hong Kong is a Special Administrative Region of the People’s Republic of China, with its own executive, judicial and legislative branches. Hong Kong enjoys a high degree of autonomy from China under the principle of “one country, two systems.” As a result of this political structure, we enjoy certain benefits, including tax benefits when we hold our WFOE through BR Hong Kong Limited, one of our subsidiaries incorporate in Hong Kong. However, we can give no assurance that Hong Kong will continue to enjoy the same level of autonomy from China. For example, if our Hong Kong subsidiary is deemed as a PRC company when the PRC government no longer treats Hong Kong as “offshore”, we may not be able to enjoy the double tax treaty reached between Hong Kong and Chinese mainland and our Hong Kong company may be subject to the supervision of SAFE, which will lead uncertainty to cross-border capital flows. In particular, China could determine to treat any cash located in Hong Kong as subject to the same distribution rules as Chinese mainland and our cash located in Hong Kong could therefore be subject to the same risks as that located in Chinese mainland. Any intervention by the government of China in the affairs of Hong Kong, in breach of the “one country, two systems” principle, may adversely affect our business and ability to raise capital.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ADSs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ADSs has been and may continue to be volatile, which could result in substantial losses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our ADSs became listed on Nasdaq on June 12, 2020 up to the date of this annual report, the trading price of our ADSs has ranged from US$0.572 to US$41.06 per ADS. The trading price of our ADSs may continue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U.S. in general and consequently may impact the trading performance of the ADSs, regardless of our actual operating performance.</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the ADSs may be highly volatile for factors specific to our own operations, including the following:</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Loss per share and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realize monetization opportunities as expected;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 in the U.S.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Shareholders of public companies have often brought securities class action suits against those companies following periods of instability in the market price of their securities. If we were involved in such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an adverse effect on our financial condition and results of operations.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applicable listing requirements, Nasdaq may delist our ADSs from trading on its exchange in which case the liquidity and market price of our ADSs could decline and our ability to raise additional capital would be adversely affected.</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ADSs are currently listed for trading on the Nasdaq Global Market. In certain circumstances, our ADSs may be delisted from either of these exchanges. Delisting could have a material and adverse effect on the liquidity of our ADSs and on investors’ ability to sell our ADSs at a satisfactory price.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There are a number of requirements that must be met in order for our ADSs to remain listed on the Nasdaq Global Market, including but not limited to the minimum bid price of at least US$1.00 per ADS, and the failure to meet any of these listing standards could result in the delisting of our ADSs from Nasdaq. For example, we have received written notification from the NASDAQ dated December 29, 2023, indicating that for the last</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30 consecutive business days, the closing bid price for our ADSs was below the minimum bid price of US$1.00 per share requirement set forth in NASDAQ Listing Rule. However, we have a compliance period of 180 calendar days, or until June 26, 2024, to regain compliance with NASDAQ’s minimum bid price requirement. On May 15, 2024, we effected a change in the ADS-to-Class A ordinary share ratio from one ADS representing one Class A ordinary share to one ADS representing ten Class A ordinary shares (the “ADS Ratio Change”). On May 30, 2024, NASDAQ provided confirmation to us that for the last 10 consecutive business days, from May 15, 2024 to May 29, 2024, the closing bid price of the Company’s ADSs had been at US$1.00 per share or greater. Accordingly, we have regained compliance with Nasdaq Listing Rule 5450(a)(1).</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also cannot assure you that we will be able to comply with all Nasdaq Listing Rules at all times in the future or regain compliance in a timely manner in case of a default and avoid any subsequent adverse action taken by Nasdaq, including delisting. Any potential delisting of our ADSs from the Nasdaq would make it impossible for our shareholders to sell our ADSs in the public market and will result in decreased liquidity, limited availability of market quotations for our ADSs, limited availability of news and analyst coverage on us and decrease in our ability to issue additional securities. In particular, if the PCAOB cannot inspect our auditors as required by the HFCA Act, the SEC may prohibit the trading of our ADSs. For details, see “Item 3. Key Information—D. Risk Factors—Risks Relating to Doing Business in the PRC—Our ADSs may be prohibited from trading in the United States under the HFCA Act in the future if the PCAOB is unable to inspect or investigate completely our current auditor. The delisting of the ADSs, or the threat of their being delisted, may materially and adversely affect the value of your investment.”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delisting of our ADSs from the London Stock Exchange may adversely affect the price, liquidity and value of the ADSs.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August 19, 2024, we announced our intention to seek the delisting and cancellation of admission to trading of our ADSs from the Official List of the UK Financial Conduct Authority (“FCA”) and the Main Market of the London Stock Exchange, which became effective on September 18, 2024 (the “Delisting”). Upon completion of the Delisting, our ADSs were no longer quoted or capable of being traded on the London Stock Exchange and were only listed and capable of being traded on the NASDAQ Global Market. In addition, following the completion of the Delisting, we are no longer subject to FCA Listing Rules. The Delisting may restrict the liquidity of our ADSs by providing only one market on which to trade our securities, which may impair the development or liquidity of the existing active trading market for the ADSs in the U.S.</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the ADSs in the U.S.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in the U.S.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ADSs could adversely affect their market price.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Sales of substantial amounts of ADSs in the public market, or the perception that these sales could occur, could adversely affect the market price of ADSs in the U.S. and could impair our ability to raise capital through equity offerings in the future. As of March 31, 2026, we had 105,463,429 ordinary shares issued and outstanding, comprising (i) 88,138,581 Class A ordinary shares (excluding (i) 371,068 Class A ordinary shares issued to our depositary bank for bulk issuance of ADSs reserved for future issuances upon the exercise or vesting of awards granted under our share incentive plans, and (ii) 3,023,138 Class A Ordinary Shares as treasury stock), and (ii) 17,324,848 Class B ordinary shares. Among these shares, 62,361,046 Class A ordinary shares are in the form ADSs (including the 3,023,138 Class A Ordinary Shares treated as treasury stock), which are freely transferable without restriction or additional registration under Securities Act. The remaining outstanding ordinary shares may also be sold in public market, subject to volume and other restrictions as applicable under Rules 144 and 701 under the Securities Act and the applicable lock-up agreements, if any. To the extent shares are released before the expiration of the applicable lock-up period and sold into the market, the market price of the ADSs in the U.S. could decline.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a large number of our ordinary shares or securities convertible into our ordinary shares are sold in the public market after they become eligible for sale, the sales could adversely affect the trading price of the ADSs in the U.S. and impede our ability to raise future capital. In addition, any ordinary shares that we issue under our share incentive plan or pursuant to any award agreements would dilute the percentage ownership held by ADS holders.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the ADSs for return on your investment.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our memorandum and articles of association and certain requirements of Cayman Islands law.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the ADSs will likely depend entirely upon any future price appreciation of the ADSs. You may not realize a return on your investment in our ADSs and you may even lose your entire investment in the ADSs.</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our directors and officers collectively own an aggregate of 61.9% of the total voting power of our outstanding ordinary shares. As a result, they have substantial influence over our business, including significant corporate actions such as change of directors, mergers, change of control transactions and other significant corporate actions.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directors, offices, and principal shareholders may take actions that are not in the best interest of us or our other shareholders. The concentration of ownership may discourage, delay or prevent a change in control of our company, which could deprive our shareholders of an opportunity to receive a premium for their shares as part of a sale of our company and may reduce the price of the ADSs in the U.S. These actions may be taken even if they are opposed by shareholders, including ADS holders. In addition, the significant concentration of share ownership may adversely affect the trading price of the ADSs in the U.S. due to investors’ perception that conflicts of interest may exist or arise.</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or PFIC, for U.S. federal income tax purposes for our prior taxable year and there is significant risk that we will be a PFIC for our current taxable year and in future taxable years, which could result in significant adverse U.S. federal income tax consequences to U.S. Holders of ADSs or Class A ordinary shares.</w:t>
      </w:r>
    </w:p>
    <w:p>
      <w:pPr>
        <w:spacing w:after="0" w:line="6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or PFIC, for any taxable year if either (i) at least 75% of its gross income for such year consists of certain types of “passive” income; or (ii) at least 50% of the value of its assets (generally based on a quarterly average) during such year is attributable to assets that produce passive income or are held for the production of passive income.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Based on our financial statements, the manner in which we conduct our business, the trading price of our Class A ordinary shares and ADSs, the value and nature of our assets, and the sources and nature of our income we believe we were a PFIC for our prior taxable year. Because we hold a significant amount of cash on our balance sheet, our status as a PFIC generally depends on the value of our goodwill and other intangible assets that we believe should be treated as active assets. As we determine the value of these assets by reference to our market capitalization, volatility in the trading price of our Class A ordinary shares and ADSs can have a significant impact on this analysis. Accordingly, there can be no assurance that we will not be a PFIC for any year in which a U.S. Holder holds our Class A ordinary shares and ADSs. The determination of whether we are a PFIC must be made annually based on the facts and circumstances at that time.</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in “Item 10. Additional Information—E. Taxation—United States Federal Income Tax Considerations”) holds the ADSs or Class A ordinary shares, such U.S. Holder may incur significantly increased U.S. federal income tax on (i) gain recognized on the sale or other disposition of the ADSs or Class A ordinary shares and (ii) distributions on the ADSs or Class A ordinary shares and such U.S. Holder may be subject to burdensome reporting requirements.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 if we are a PFIC for any year during which a U.S. Holder holds ADSs or Class A ordinary shares, we generally will continue to be treated as a PFIC for all subsequent years during which such U.S. Holder holds our ADSs or Class A ordinary shares, even if we no longer satisfy the tests described above, unless the U.S. Holder makes a special “purging” election on U.S. Internal Revenue Service (“IRS”) Form 8621. See “Item 10. Additional Information—E. Taxation—United States Federal Income Tax Considerations—Passive Foreign Investment Company Rules” for more details. U.S. Holders are urged to consult their own tax advisors regarding the U.S. federal income tax consequences of holding stock or ADSs in a PFIC.</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an adverse effect on the rights of holders of our ordinary shares and the ADSs.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the ADSs in the U.S. may fall and the voting and other rights of the holders of our ordinary shares and the ADSs may be adversely affected.</w:t>
      </w:r>
    </w:p>
    <w:p>
      <w:pPr>
        <w:spacing w:after="0" w:line="292"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and articles of association, as amended, the Companies Act (As Revised)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U.S. In particular, the Cayman Islands has a less developed body of securities laws than the U.S. Some U.S. states, such as Delaware, have more fully developed and judicially interpreted bodies of corporate law than the Cayman Islands. In addition, Cayman Islands companies may not have standing to initiate a shareholder derivative action in a federal court of the U.S.</w:t>
      </w:r>
    </w:p>
    <w:p>
      <w:pPr>
        <w:spacing w:after="0" w:line="194"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corporate governance requirements; these practices may afford less protection to shareholders than they otherwise would under rules and regulations applicable to U.S. domestic issuers.</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difficulties in protecting their interests in the face of actions taken by management, members of the board of directors or controlling shareholders than they would as public shareholders of a company incorporated in the U.S.</w:t>
      </w:r>
    </w:p>
    <w:p>
      <w:pPr>
        <w:spacing w:after="0" w:line="280"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U.S. that are applicable to U.S. domestic issuers, including: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publish our results on a quarterly basis through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 and it may be more difficult for overseas regulators to conduct investigation or collect evidence within China.</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Class A ordinary shares which are represented by your ADSs.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As a holder of ADSs, you will not have any direct right to attend general meetings of our shareholders or to cast any votes at such meetings. You will only be able to exercise the voting rights which attach to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as the holder of the underlying Class A ordinary shares which are represented by your ADSs. Upon receipt of your voting instructions, if voting is by poll, the depositary will try, as far as is practicable, to vote the Class A ordinary shares underlying your ADSs in accordance with your instructions, if such instructions are timely received by the depositary. If voting is by show of hands, the depositary will vote all ordinary shares held on deposit at that time in accordance with the voting instructions received from a majority of holders of ADSs who provide timely instructions. You will not be able to directly exercise any right to vote with respect to the underlying Class A ordinary shares unless you cancel your ADSs, withdraw the shares and become the registered holder of such shares prior to the record date for the general meeting. Under our memorandum and articles of association, the minimum notice period required to be given by our company to our registered shareholders for convening a general meeting is seven (7) calendar days. When a general meeting is convened, you may not receive sufficient advance notice to enable you to cancel our ADSs and withdraw the underlying Class A ordinary shares which are represented by your ADSs and become the registered holder of such shares prior to the record date for the general meeting to allow you to attend the general meeting or to vote directly with respect to any specific matter or resolution which is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which are represented by your ADSs and becoming the registered holder of such shares prior to the record date, so that you would not be able to attend the general meeting or to vote directly. Where any matter is to be put to a vote at a general meeting, the depositary will, if we request, and subject to the terms of the deposit agreement, endeavor to notify you of the upcoming vote and to deliver our voting materials to you. We cannot assure you that you will receive the voting materials in time to ensure that you can instruct the depositary to vote the underlying Class A ordinary shares which are represented by your ADSs. In addition, the depositary and its agents are not responsible for failing to carry out voting instructions or for their manner of carrying out your voting instructions. This means that you may not be able to exercise your right to direct the voting of the underlying Class A ordinary shares which are represented by your ADSs, and you may have no legal remedy if the underlying Class A ordinary shares are not voted as you requested.</w:t>
      </w:r>
    </w:p>
    <w:p>
      <w:pPr>
        <w:sectPr>
          <w:pgSz w:w="11900" w:h="16838" w:orient="portrait"/>
          <w:cols w:equalWidth="0" w:num="1">
            <w:col w:w="11120"/>
          </w:cols>
          <w:pgMar w:left="320" w:top="482" w:right="459" w:bottom="1440" w:gutter="0" w:footer="0" w:header="0"/>
        </w:sectPr>
      </w:pP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shares and you may not receive any value for them, if it is illegal or impractical to make them available to you.</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depositary has agreed to pay you any cash dividends or other distributions it or the custodian receives on shares or other deposited securities underlying your ADSs, after deducting its fees and expenses. You will receive these distributions in proportion to the number of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 in the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Shareholders do not have pre-emptive rights and we may, without shareholder consent, issue additional ordinary shares, ADSs, warrants, rights, units and debt securities for general corporate purposes, including, but not limited to, working capital, capital expenditures, investments, acquisitions and repayment or refinancing of borrowings. We also issue ordinary shares to our executive officers, employees and independent directors as part of their compensation. This may have the effect of diluting the interests of your holding. Additionally, to the extent that pre-emptive rights are granted, shareholders in certain jurisdictions may experience difficulties or may be unable to exercise their pre-emptive rights. For example, we cannot make such rights available to holders in the U.S. unless we register both the rights and the securities to which the rights relate under the Securities Act or an exemption from the registration requirements is available. Under the deposit agreement, the depositary will not make rights available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the ADSs may view as beneficial.</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six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and under certain other circumstances, such Class B ordinary shares shall be automatically and immediately converted into the equal number of Class A ordinary shares. If any of such Class B ordinary shares are converted into Class A ordinary shares or cancelled for any reasons, our board of directors will have the authority without further action by our shareholders to issue additional Class B ordinary shares, which will be dilutive to our Class A ordinary shareholders and ADS holders.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March 31, 2026, our founder, chairman of the board of directors and chief executive officer, Mr. Yusheng Han, beneficially owns all of our issued Class B ordinary shares. The Class B ordinary shares constitute 16.4% of our total issued and outstanding share capital and 54.1% of the aggregate voting power of our issued and outstanding share capital due to the disparate voting powers associated with our dual-class share structure. See “Item 6. Directors, Senior Management and Employees—E. Share Ownership.” As a result of the dual-class share structure and the concentration of ownership, our founder and chief executive officer, Mr. Yusheng Han, has considerable influence over matters such as decisions regarding change of directors, mergers, change of control transactions and other significant corporate actions. He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in the U.S.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and the trading price of the ADSs in the U.S.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in the U.S. Any actions or publications by shareholder advisory firms critical of our corporate governance practices or capital structure could also adversely affect the value of the ADSs.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U.S. or elsewhere outside of China upon these individuals, or to bring an action against us or against these individuals in the U.S. or elsewhere outside of China in the event that you believe your rights have been infringed under the U.S. federal securities laws or any securities laws in other jurisdictions outside of China. Even if you are successful in bringing an action of this kind, the laws of the Cayman Islands and of the PRC may render you unable to enforce a judgment against our assets or the assets of our directors and officers.</w:t>
      </w:r>
    </w:p>
    <w:p>
      <w:pPr>
        <w:spacing w:after="0" w:line="8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as well as public policy considerations and conditions set forth in applicable provisions of other PRC laws relating to the enforcement of civil liability. China does not have treaties providing for the reciprocal recognition and enforcement of court judgments with many countries, including the U.S. and most other Western countries.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U.S. or the Cayman Islands. These limitations may deprive investors of effective legal recourse for claims related to investment in the ADSs.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terms of actions brought by securities regulatory authorities of other countries, there are also significant legal obstacles to obtaining requisite information. In particular, pursuant to Article 177 of the PRC Securities Law which became effective in March 2020, no overseas securities regulator is allowed to directly conduct investigation or evidence collection activities within China. Accordingly, without the consent of the competent PRC securities regulators and relevant authorities, no organization or individual may provide the documents and materials relating to securities business activities to overseas parties.</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See also “—You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commenced our operation in January 2014 through Burning Rock (Beijing) Biotechnology Co., Ltd., a PRC company. In March 2014, we incorporated Burning Rock Biotech Limited in the Cayman Islands as our offshore holding company in order to facilitate foreign investment in our company. Subsequently, we established BR Hong Kong Limited as our intermediate holding company in April 2014, which in turn established a wholly-owned PRC subsidiary, Beijing Burning Rock Biotech Limited, in June 2014. In the same month, Beijing Burning Rock Biotech Limited entered into a series of contractual arrangements with Burning Rock (Beijing) Biotech Limited and its then shareholders, and Burning Rock (Beijing) Biotechnology Co., Ltd. became our variable interest entity, or VIE. These contractual arrangements were amended on May 10, 2024, according to which, Guangzhou Burning Rock Biotech Limited took the place of Beijing Burning Rock Biotech Limited, becoming our WFOE. See “Item 4. Information on the Company—C. Organizational Structure—Contractual Arrangements.”</w:t>
      </w:r>
    </w:p>
    <w:p>
      <w:pPr>
        <w:spacing w:after="0" w:line="192"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We conduct our NGS-based products and services business primarily through the wholly-owned subsidiaries of the VIE, Guangzhou Burning Rock Dx Co., Ltd. and Guangzhou Burning Rock Medical Equipment Co., Ltd., which were established in March 2014 and January 2015, respectively.</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12, 2020, our ADSs commenced trading on NASDAQ Global Market under the symbol “BNR.” We raised from our initial public offering US$234.9 million net proceeds, after the underwriters exercised in full their option to purchase additional ADSs. Concurrently with our initial public offering, we raised US$25 million from Lake Bleu Prime Healthcare Master, in a private placement.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December 8, 2020, we completed a registered follow-on public offering by certain selling shareholders of 2,243,000 ADSs at a public offering price of US$25.75 per ADS. We did not receive any proceeds from the follow-on public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June 21, 2022, we announced a share repurchase plan, under which we may repurchase our Class A ordinary shares in the form of ADSs with an aggregate value of up to US$10 million during a 12-month period. As of the date of this annual report, the share repurchase program was completed in full and we repurchased a total of 3,023,138 Class A ordinary shares in the form of ADSs. The repurchased shares have been retained as treasury shares.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November 1, 2022, our ADSs were admitted to the former-standard listing segment of the Official List of the FCA and to trading on the Main Market of the London Stock Exchange plc under the ticker “BNR.” At our request, effective on September 18, 2024, our ADSs were cancelled from admission to trading on the London Stock Exchange and were delisted from the FCA’s Official List.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November 7, 2022, we filed a prospectus supplement to sell up to an aggregate of US$100,000,000 of our ADSs through an at-the-market equity offering program. Our ADSs are available to be offered through or to Cowen and Company, LLC as the sales agent pursuant to a sales agreement dated November 7, 2022 between us and Cowen and Company, LLC.</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No. 5, Xingdao Ring Road North, International Bio Island, Guangzhou, the People’s Republic of China. Our telephone number at this address is +86 020-3403 7871. Our registered office in the Cayman Islands is located at the offices of Maples Corporate Services Limited at PO Box 309, Ugland House, Grand Cayman, KY1-1104, Cayman Islands.</w:t>
      </w:r>
    </w:p>
    <w:p>
      <w:pPr>
        <w:spacing w:after="0" w:line="176" w:lineRule="exact"/>
        <w:rPr>
          <w:sz w:val="20"/>
          <w:szCs w:val="20"/>
          <w:color w:val="auto"/>
        </w:rPr>
      </w:pPr>
    </w:p>
    <w:p>
      <w:pPr>
        <w:ind w:left="120" w:right="1220" w:firstLine="440"/>
        <w:spacing w:after="0" w:line="282" w:lineRule="auto"/>
        <w:rPr>
          <w:sz w:val="20"/>
          <w:szCs w:val="20"/>
          <w:color w:val="auto"/>
        </w:rPr>
      </w:pPr>
      <w:r>
        <w:rPr>
          <w:rFonts w:ascii="Times New Roman" w:cs="Times New Roman" w:eastAsia="Times New Roman" w:hAnsi="Times New Roman"/>
          <w:sz w:val="18"/>
          <w:szCs w:val="18"/>
          <w:color w:val="auto"/>
        </w:rPr>
        <w:t>Investors should submit any inquiries to the address and telephone number of our principal executive offices. Our main website is http://www.brbiotech.com. The information contained on our website is not a part of this annual report.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SEC maintains an internet site (http://www.sec.gov), which contains reports, proxy and information statements, and other information regarding us that file electronically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Business Overview</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aim to transform precision oncology and early cancer detection. We are China’s leading NGS-based cancer therapy selection company. Our cancer therapy selection platform is built upon our advanced proprietary technologies, comprehensive portfolio of products and a two-pronged market-driven commercial infrastructure addressing both larger hospitals through our in-hospital model and smaller hospitals through our central laboratory model.</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advanced technology platform integrates cutting-edge proprietary cancer therapy selection technologies using both tissue and liquid biopsies, including assay biochemistry, bioinformatics and a patented laboratory information management system. Our proprietary HS library preparation technology allows us to work with poor quality and limited volume samples and enables enhanced sensitivity—capabilities that are critical to effectively deploying NGS-based cancer therapy selection, especially in China. Our in-depth cancer genomics insights, accumulated from the large number of tests we have performed since our inception, enable us to process and accurately analyze genomic information. We have achieved a turnaround time of approximately six days for regular oncology products, approximately twenty-five days for MRD products and approximately nine days for early detection products.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35" w:lineRule="auto"/>
        <w:rPr>
          <w:sz w:val="20"/>
          <w:szCs w:val="20"/>
          <w:color w:val="auto"/>
        </w:rPr>
      </w:pPr>
      <w:r>
        <w:rPr>
          <w:rFonts w:ascii="Times New Roman" w:cs="Times New Roman" w:eastAsia="Times New Roman" w:hAnsi="Times New Roman"/>
          <w:sz w:val="18"/>
          <w:szCs w:val="18"/>
          <w:color w:val="auto"/>
        </w:rPr>
        <w:t>We offer a broad spectrum of NGS-based products. Our NGS-based cancer therapy selection test products are used to assist physicians in selecting the most effective therapy for cancer patients. We primarily offer 33 NGS-based cancer therapy selection and prognosis prediction tests applicable to a broad range of cancer types, including lung cancer, gastrointestinal cancer, prostate cancer, breast cancer, lymphomas, thyroid cancer, colorectal cancer, ovarian cancer, pancreatic cancer, and bladder cancer, using both tissue and liquid biopsy samples. Our core products, including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perform on par with those of our global peers. We launched our MRD product,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previously known as brPROPHET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March 2022, which has demonstrated superior sensitivity and specificity to fixed panel in pre-operative ctDNA detection and post-operative MRD calling among relapsed patients. In January 2023 and October 2023, our early detection product,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Multi-Cancer Detection Blood Test, or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granted Breakthrough Device Designation by the FDA and the NMPA, respectively, making this product the only test globally that has received such designation from both the FDA and NMPA. This product is intended for early detection of multiple cancer types, including esophageal, liver, lung, ovarian, and pancreatic cancer, in adults of either sex, aged 50 to 75 years old, at average risk for cancers. We are the clear leader in the lung cancer segment of China’s NGS-based cancer therapy selection market. We believe we offer the best NGS-based products and services in China, and we have won the trust of pharmaceutical companies, physicians, hospitals and patients with our high quality standards, superior product performance and strong service support. Our products are recognized by the medical, pharmaceutical and scientific communities, as evidenced by (i) the use of our products by oncology key opinion leaders in clinical trials and research studies they initiate, and (ii) our collaborations on clinical trials and research studies with leading pharmaceutical companies including AstraZeneca (NYSE: AZN), Bayer (ETR: BAYN), Johnson &amp; Johnson (NYSE: JNJ), CStone (HKEX: 2616), BeiGene (HKEX: 6160), Abbisko Therapeutics (HKEX: 2256), IMPACT Therapeutics, Boehringer Ingelheim and Merck KGaA (ETR: MRK), primarily by providing central laboratory services and companion diagnostics development services to these pharmaceutical companies. The results of these clinical trials and research studies have been published in over 500 peer-reviewed articles, and the results of research studies using our products have been published in numerous peer-reviewed articles.</w:t>
      </w:r>
    </w:p>
    <w:p>
      <w:pPr>
        <w:spacing w:after="0" w:line="19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pioneered a two-pronged commercial infrastructure, consisting of both central and in-hospital laboratories, to maximize market penetration and create higher barriers to entry.</w:t>
      </w:r>
    </w:p>
    <w:p>
      <w:pPr>
        <w:spacing w:after="0" w:line="63" w:lineRule="exact"/>
        <w:rPr>
          <w:sz w:val="20"/>
          <w:szCs w:val="20"/>
          <w:color w:val="auto"/>
        </w:rPr>
      </w:pPr>
    </w:p>
    <w:p>
      <w:pPr>
        <w:ind w:left="1080" w:hanging="424"/>
        <w:spacing w:after="0" w:line="25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Central laboratory model</w:t>
      </w:r>
      <w:r>
        <w:rPr>
          <w:rFonts w:ascii="Times New Roman" w:cs="Times New Roman" w:eastAsia="Times New Roman" w:hAnsi="Times New Roman"/>
          <w:sz w:val="18"/>
          <w:szCs w:val="18"/>
          <w:color w:val="auto"/>
        </w:rPr>
        <w:t>: Our central laboratory processes cancer patients’ tissue and liquid biopsy samples delivered to us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hospitals across China and issues test reports. This model has enabled us to become China’s largest provider of NGS-based cancer therapy selection tests. Our central laboratory also supports our collaborations with pharmaceutical companies. As our central laboratory model has become a relatively mature business segment, we have shifted our strategic focus to the in-hospital model, which we believe has higher growth potential. Accordingly, while revenue from our central laboratory model has accounted for, and is expected to continue to account for, a substantial part of our total revenues, we expect revenue from our central laboratory model to be more stable in the future.</w:t>
      </w:r>
    </w:p>
    <w:p>
      <w:pPr>
        <w:spacing w:after="0" w:line="8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In-hospital model</w:t>
      </w:r>
      <w:r>
        <w:rPr>
          <w:rFonts w:ascii="Times New Roman" w:cs="Times New Roman" w:eastAsia="Times New Roman" w:hAnsi="Times New Roman"/>
          <w:sz w:val="18"/>
          <w:szCs w:val="18"/>
          <w:color w:val="auto"/>
        </w:rPr>
        <w:t>: Chinese hospitals generally prefer to conduct laboratory tests in-house. However, despite the large and growing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NGS-based cancer therapy selection tests, hospitals face multiple challenges in adopting these tests, which have technically sophisticated workflows. In 2016, we became China’s first NGS-based cancer therapy selection company to offer an in-hospital model, providing turn-key solutions to address Chinese hospitals’ challenges in adopting NGS-based cancer therapy selection. We help our partner hospitals establish their in-hospital laboratories, install laboratory equipment and systems, and provide ongoing training and support. With these laboratories, equipment and systems in place, we sell them our reagent kits on a recurring basis, which allow them to perform testing on their own in a standardized manner. As of December 31, 2025 we have partnered with 94 hospitals in 43 cities across China. We have invested and expect to continue investing substantially in our in-hospital model, as we expect it to become an increasingly important segment of China’s NGS-based cancer therapy selection market. Revenue from our in-hospital model has grown substantially since we entered into this model, and revenue from our in-hospital model contributed to a substantial part of our revenue in 2025, reaffirming our strategic judgment about the development of China’s NGS-based cancer therapy selection market.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NGS-based cancer therapy selection tests, we are also investing in our development of early cancer detection tests. Early cancer detection can substantially increase the chances of successful treatment and therefore presents enormous market opportunities. However, it is extremely difficult to develop liquid biopsy-based early cancer detection tests with the sensitivity and specificity needed for the tests to be clinically useful. Our targeted DNA methylation-based library preparation technologies and bioinformatics effectively address these challenges by enhancing the signal-to-noise ratio on the most informative cancer-associated methylation loci and blocks, enabling us to detect extremely low circulating levels of cancer biomarkers to facilitate accurate early detection of multiple cancers. Our early cancer detection technologies have demonstrated an overall sensitivity of 80.6% across six cancer types (including lung cancer, colorectal cancer, liver cancer, ovarian cancer, pancreatic cancer and esophageal cancer) at various stages, with 98.3% specificity (meaning 98.3% of asymptomatic participants test negative for any cancer). We will continue our research and development efforts in early cancer detection, with the aim of developing pan-cancer early detection products.</w:t>
      </w:r>
    </w:p>
    <w:p>
      <w:pPr>
        <w:spacing w:after="0" w:line="18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recognized revenues of RMB515.8 million and RMB539.6 million (US$77.2 million) in 2024 and 2025, respectively. Our gross profit remained relatively stable, which was RMB362.4 million and RMB402.9 million (US$57.6 million) in 2024 and 2025, respectively. Our gross profit margin was 70.3% and 74.7% in 2024 and 2025,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NGS-Based Cancer Therapy Selection Technologies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adoption of NGS-based cancer therapy selection in China presents a number of challenges, including (i) library preparation and probe hybridization using the low-quality FFPE samples containing degraded or low quantities of DNA that are common in China, and (ii) Chinese hospitals typically prefer to perform tests in-house rather than outsourcing to third parties, but lack the required expertise, knowledge and skills to perform NGS-based cancer therapy selection tests. We have developed the proprietary assay biochemistry and bioinformatics described below that underlie our current product portfolio and effectively address those challenges.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HS Library Preparation Technology—Enhancing Capture Efficiency for Low-Quality FFPE Samples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low quality FFPE samples available in China often fail to meet the minimum quality and quantity thresholds required for standard NGS-based cancer therapy selection. Our proprietary High Sensitivity, or HS, library preparation technology improves the capture efficiency of low-quality FFPE samples and enables us to maximize the capture of unique DNA molecules, which are used to make up the sequencing library. This technology improves by approximately 80% the library conversion and library complexity—a measure of the number of unique DNA molecules present in a DNA library—of DNA libraries derived from FFPE samples, enabling us to work with low-quality FFPE samples. When applied to liquid biopsy ctDNA samples, our HS library preparation technology shows similar improvements in library complexity, enabling us to work with liquid biopsy ctDNA samples as small as</w:t>
      </w:r>
    </w:p>
    <w:p>
      <w:pPr>
        <w:spacing w:after="0" w:line="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10-nanograms. Building upon our HS library preparation technology, we have further developed our capture-based personalized MRD assay,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(previously known as brPROPHET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diagram below illustrates the significant improvements in complexity and overall quality of DNA libraries derived from clinical FFPE samples of different quality levels (from the highest level “A+” to the lowest level “C”) using our HS library preparation technology, each as compared with conventional library preparation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140335</wp:posOffset>
            </wp:positionV>
            <wp:extent cx="2914650" cy="2254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1465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Comparison of FFPE DNA library complexity and quality at 500X raw depth</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diagram below illustrates the improvements (denoted as “after”) in library complexity of liquid biopsy ctDNA samples achieved using our HS library preparation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131445</wp:posOffset>
            </wp:positionV>
            <wp:extent cx="2880360" cy="1765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8036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 Biopsy Technologies—Enabling Super-High Sensitivity in ctDNA Samples Through Signal-Noise Ratio Enhancement</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Compared to tissue biopsies, NGS-based ctDNA liquid biopsies require higher technological capabilities and expertise because of the low concentrations of ctDNA in liquid biopsy samples. In addition to our HS technology, we have also developed our UMI technology and corresponding bioinformatics, which improve the signal detection and noise control capabilities of our liquid biopsy-based tests and accurately distinguish true origin of DNA fragments from those that are duplicated, contaminated, erroneous or otherwise irrelevant. These technologies increase test sensitivity and lower our ctDNA detection limit by five to ten times to 0.1% or lower, which significantly enhances the accuracy of our liquid biopsy-based tests.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illustrates the noise reduction achieved by applying our UMI technology in ctDNA sample library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171450</wp:posOffset>
            </wp:positionV>
            <wp:extent cx="3463290" cy="2151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6329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MSI Calling Algorithms—World-Class NGS-Based Algorithms Detecting MSI in Tissue and Liquid Biopsies</w:t>
      </w:r>
    </w:p>
    <w:p>
      <w:pPr>
        <w:spacing w:after="0" w:line="121"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Polymerase chain reaction-, or PCR-, based methods have been the conventional method for detecting microsatellite instability, or MSI, an important biomarker for immune-oncology treatment selection. We have developed proprietary NGS-based MSI calling algorithms, prettyMSI and bMSISEA, which enable our tests to accurately detect the presence of MSI in tissue and ctDNA samples, respectively. By incorporating these algorithms, our tissue and liquid biopsy-based tests provide patients a one-stop, cost-effective solution for the detection of genomic alterations of targeted genes and MSI in a single test. Our MSI calling algorithms possess satisfactory sensitivity.</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2018, our prettyMSI algorithm was clinically validated in an MSI detection study with the results published in a 2018 March Journal of Molecular Diagnostics article “A novel and reliable method to detect microsatellite instability in colorectal cancer by next-generation sequencing.” In 2020, our bMSISEA algorithm was clinically validated in an MSI detection study, the result of which will be published in an article titled “Detection of microsatellite instability from circulating tumor DNA by targeted deep sequencing”, that has been submitted to and accepted by the same journal. In 2019, one of our products using the prettyMSI algorithm was endorsed and recommended in Chinese Experts Consensus on MSI testing.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7"/>
          <w:szCs w:val="17"/>
          <w:color w:val="auto"/>
        </w:rPr>
        <w:t>Since 2021, a series of publication utilizing therapy selection technology described above had been published in top-tier journals to demonstrate analytical validity, clinical validity, and clinical utilities. In 2021, the SEQC2 study initiated by MAQC/FDA was published in multiple journals. Among them, the ctDNA panel sequencing study was published in a Nature Biotechnology article titled “Evaluating the analytical validity of circulating tumor DNA sequencing assays for precision oncology.” Our ctDNA panel OncoCompass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Target demonstrated the best sensitivity, specificity and reproducibility. The graphs below demonstrated the performance of our OncoCompass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Target (indicated as “BRP) in comparison with other products.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217170</wp:posOffset>
            </wp:positionV>
            <wp:extent cx="3505835" cy="2940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0583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right="20" w:firstLine="440"/>
        <w:spacing w:after="0" w:line="233" w:lineRule="auto"/>
        <w:rPr>
          <w:sz w:val="20"/>
          <w:szCs w:val="20"/>
          <w:color w:val="auto"/>
        </w:rPr>
      </w:pPr>
      <w:r>
        <w:rPr>
          <w:rFonts w:ascii="Times New Roman" w:cs="Times New Roman" w:eastAsia="Times New Roman" w:hAnsi="Times New Roman"/>
          <w:sz w:val="18"/>
          <w:szCs w:val="18"/>
          <w:color w:val="auto"/>
        </w:rPr>
        <w:t>Regarding the clinical utilities, Our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 panel was used in the China cohort Clinical Testing Assay (CTA) of Capivasertib Phase 3 trial (CAPItello-291) sponsored by AstroZeneca. The results had been published in an article titled “Capivasertib in Hormone Receptor–Positive Advanced Breast Cancer” on The New England Journal of Medicine. The trial results ultimately led to the FDA approval of Capivasertib in the U.S. with CDx requirement of AKT1-pathway alteration. On April 18, 2025, the NMPA announced the approval of Capivasertib. We are currently closely working with the NMPA and AstroZeneca on our collaboration to develop CDx product for Capivasertib in China.</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Automated NGS Library Preparation System—Enabling Automation and Standardization of In-Hospital Laboratories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Hospitals in China generally lack the expertise necessary to conduct NGS-based cancer therapy selection. In addition, the conventional process flows that most Chinese hospitals use not only make the testing process time consuming, but also introduce contamination risk in the library preparation stage, which reduces testing accuracy. We have been a pioneer in helping Chinese hospitals address these challenges, and in September 2019, we launched Magnis BR, China’s first and only capture-based fully automated NGS library preparation system, and associated library preparation reagents, which we co-developed with Agilent. Magnis BR and its associated reagents are particularly suitable for Chinese hospitals because they fully automate the NGS library preparation process, converting DNA samples into sequencing-ready libraries in around nine hours. Magnis BR can process 373 samples per week. We presented the analytical validation data of Magnis BR at the Association for Molecular Pathology (AMP) 2020 annual meeting in a platform presentation. In 2022, our Magnis BR received clearance as a Class II medical device for IVD use in China. As of the date of this annual report, 20 hospitals in China had adopted Magnis BR and associated reagents.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Molecular Residual Disease (MRD)</w:t>
      </w:r>
    </w:p>
    <w:p>
      <w:pPr>
        <w:spacing w:after="0" w:line="121" w:lineRule="exact"/>
        <w:rPr>
          <w:sz w:val="20"/>
          <w:szCs w:val="20"/>
          <w:color w:val="auto"/>
        </w:rPr>
      </w:pPr>
    </w:p>
    <w:p>
      <w:pPr>
        <w:ind w:left="120" w:firstLine="440"/>
        <w:spacing w:after="0" w:line="225" w:lineRule="auto"/>
        <w:rPr>
          <w:sz w:val="20"/>
          <w:szCs w:val="20"/>
          <w:color w:val="auto"/>
        </w:rPr>
      </w:pPr>
      <w:r>
        <w:rPr>
          <w:rFonts w:ascii="Times New Roman" w:cs="Times New Roman" w:eastAsia="Times New Roman" w:hAnsi="Times New Roman"/>
          <w:sz w:val="18"/>
          <w:szCs w:val="18"/>
          <w:color w:val="auto"/>
        </w:rPr>
        <w:t>The disease monitoring and surveillance utility of ctDNA test had been drawing extensive academic and clinical interest in recent years. Using ctDNA test to identify ctDNA positivity after definitive therapy such as post-surgery can bring prognostic and potentially predictive value. In 2020, we started developing our MRD technology—brPROPHET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was later known as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Personalized MRD. It utilizes tumor-informed approach to identify up to 50 loci through whole exome sequencing, or WES, of tumor and paired normal samples. A personalized hybridization capture probe set is created for each patient. Ultra-deep sequencing leveraging on HS-UMI technology described above is also used in the process to enable high sensitivity of tumor-informed ctDNA detection. The limit of detection of the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can be as low as 40ppm. At the AACR Annual Meeting in 2023, we presented the results of the study in relation to MEthylation Based Dynamic Analysis for Lung Cancer) (MEDAL) (the “MEDAL study”), which demonstrated that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detected more MRD events with ultra-low ctDNA abundance but meaningful prognostic significance and proved important insights for guiding the standardization of future surveillance applications by evaluating the dynamic change of longitudinal MRD. In September 2023, the MEDAL study was published in a Cancer Cell article titled “Individualized tumor-informed circulating tumor DNA analysis for postoperative monitoring of non-small cell lung cancer.”</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diagrams below illustrate the analytical validity and clinical validity of the MEDAL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171450</wp:posOffset>
            </wp:positionV>
            <wp:extent cx="3206115" cy="2863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Cancer Detection Technologies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2016, we started our research and development on the use of targeted DNA methylation in early cancer detection. Early cancer detection can substantially increase the chances of successful treatment, and accordingly presents enormous market opportunities. However, it is extremely difficult to develop liquid biopsy-based early cancer detection tests with the sensitivity and specificity needed for the tests to be clinically useful. To effectively address the technical challenges of early cancer detection, we have developed targeted DNA methylation-based library preparation technologies and bioinformatics that sensitively detect extremely low circulating levels of cancer biomarkers by enhancing the signal-to-noise ratio on the most informative cancer-associated methylation loci and blocks, facilitating the accurate early detection of multiple cancers.</w:t>
      </w:r>
    </w:p>
    <w:p>
      <w:pPr>
        <w:spacing w:after="0" w:line="187" w:lineRule="exact"/>
        <w:rPr>
          <w:sz w:val="20"/>
          <w:szCs w:val="20"/>
          <w:color w:val="auto"/>
        </w:rPr>
      </w:pPr>
    </w:p>
    <w:p>
      <w:pPr>
        <w:ind w:left="120" w:right="20" w:firstLine="440"/>
        <w:spacing w:after="0" w:line="211" w:lineRule="auto"/>
        <w:rPr>
          <w:sz w:val="20"/>
          <w:szCs w:val="20"/>
          <w:color w:val="auto"/>
        </w:rPr>
      </w:pPr>
      <w:r>
        <w:rPr>
          <w:rFonts w:ascii="Times New Roman" w:cs="Times New Roman" w:eastAsia="Times New Roman" w:hAnsi="Times New Roman"/>
          <w:sz w:val="18"/>
          <w:szCs w:val="18"/>
          <w:color w:val="auto"/>
        </w:rPr>
        <w:t>We have built on our technology platform to develop proprietary technologies for early cancer detection using analysis of change in DNA methylation, a promising biomarker associated with the initiation of certain cancers.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our proprietary targeted DNA-methylation-based library preparation technology for early cancer detection. It significantly increases the conversion rate, and maximizes the preservation, of sequenceable DNA fragments; it also ensures that the methylation sites of pathogenic significance are captured. These capabilities allow us to prepare sequenceable libraries using liquid biopsy samples as small as 5 to 10 milligrams. We also use targeted DNA methylation reinforced malignancy non-invasive detection, or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proprietary bioinformatics and statistical algorithm for the early detection of multiple types of cancers. We train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real world clinical samples and its machine learning capability enables continuous performance improvements as it incorporates data from additional clinical samples. The combination of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enables highly sensitive, accurate and robust early cancer detection results that are on par with global leaders.</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8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22" w:lineRule="auto"/>
        <w:rPr>
          <w:sz w:val="20"/>
          <w:szCs w:val="20"/>
          <w:color w:val="auto"/>
        </w:rPr>
      </w:pPr>
      <w:r>
        <w:rPr>
          <w:rFonts w:ascii="Times New Roman" w:cs="Times New Roman" w:eastAsia="Times New Roman" w:hAnsi="Times New Roman"/>
          <w:sz w:val="18"/>
          <w:szCs w:val="18"/>
          <w:color w:val="auto"/>
        </w:rPr>
        <w:t>At the American Association of Cancer Research (AACR) Annual Meeting 2019, we presented a poster that demonstrated the data of early detection of lung cancer using our methylation profiling method combining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the Special Conference on Advances in Liquid Biopsies hosted by AACR in 2020, we presented our data regarding early detection of lung, colorectal and liver cancers with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 poster titled “Multiplatform analysis of early-stage cancer signatures in blood.” At the AACR Virtual Annual Meeting II, we presented our new data regarding early detection of ovarian cancer in a poster titled “Methylation profiling of circulating tumor DNA for the detection of ovarian cancer.” At the European Society for Medical Oncology (ESMO) Asia Virtual Congress 2020, we presented our new data regarding early detection of lung, colorectal, liver, ovarian, pancreatic, and esophageal cancers in a presentation titled “Early detection and localization of multiple cancers using a blood-based methylation assay (ELSA-seq).” At the AACR Annual Meeting 2022, we presented a poster titled “Analytical performance of ELSA-seq, a blood-based test for early detection of multiple cancers,” in which we evaluated the analytical performance of a refined test version of ELSA-seq and demonstrated the high sensitivity of the detection data.</w:t>
      </w: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illustrates our early cancer detection workflow incorporating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113030</wp:posOffset>
            </wp:positionV>
            <wp:extent cx="3780155" cy="31546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8015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Step (A) Sample preparation</w:t>
      </w:r>
      <w:r>
        <w:rPr>
          <w:rFonts w:ascii="Times New Roman" w:cs="Times New Roman" w:eastAsia="Times New Roman" w:hAnsi="Times New Roman"/>
          <w:sz w:val="18"/>
          <w:szCs w:val="18"/>
          <w:color w:val="auto"/>
        </w:rPr>
        <w:t>: 8-10 ml of venous blood is collected and processed to isolate circulating cell-free DNA, or cfDNA, which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biomarker.</w:t>
      </w:r>
    </w:p>
    <w:p>
      <w:pPr>
        <w:spacing w:after="0" w:line="15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Step (B) Automated whole-methylome amplification</w:t>
      </w:r>
      <w:r>
        <w:rPr>
          <w:rFonts w:ascii="Times New Roman" w:cs="Times New Roman" w:eastAsia="Times New Roman" w:hAnsi="Times New Roman"/>
          <w:sz w:val="18"/>
          <w:szCs w:val="18"/>
          <w:color w:val="auto"/>
        </w:rPr>
        <w:t>: DNA Libraries are prepared using a method called whole methylome bisulfite sequencing,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WGBS, in an automated way. WGBS is a widely used method to profile the methylation landscape of the whole genome. The detailed sub-steps are shown in the center of the above diagram.</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82"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Step (C) Deep sequencing of cancer-associated markers</w:t>
      </w:r>
      <w:r>
        <w:rPr>
          <w:rFonts w:ascii="Times New Roman" w:cs="Times New Roman" w:eastAsia="Times New Roman" w:hAnsi="Times New Roman"/>
          <w:sz w:val="18"/>
          <w:szCs w:val="18"/>
          <w:color w:val="auto"/>
        </w:rPr>
        <w:t>: Probes are used to capture the specific genomic regions associated with common types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cancer, and the captured regions are then sequenced at high depth. The detailed sub-steps are shown in the center of the above diagram.</w:t>
      </w:r>
    </w:p>
    <w:p>
      <w:pPr>
        <w:spacing w:after="0" w:line="15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Step (D) Pattern recognition &amp; noise suppression</w:t>
      </w:r>
      <w:r>
        <w:rPr>
          <w:rFonts w:ascii="Times New Roman" w:cs="Times New Roman" w:eastAsia="Times New Roman" w:hAnsi="Times New Roman"/>
          <w:sz w:val="18"/>
          <w:szCs w:val="18"/>
          <w:color w:val="auto"/>
        </w:rPr>
        <w:t>: After the methylation changes are detected, statistical algorithms are used to differentiate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signals from noise in the sequencing data and the signals are then categorized into specific patterns.</w:t>
      </w:r>
    </w:p>
    <w:p>
      <w:pPr>
        <w:spacing w:after="0" w:line="155"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Step (E) Machine learning for sparse matrices</w:t>
      </w:r>
      <w:r>
        <w:rPr>
          <w:rFonts w:ascii="Times New Roman" w:cs="Times New Roman" w:eastAsia="Times New Roman" w:hAnsi="Times New Roman"/>
          <w:sz w:val="18"/>
          <w:szCs w:val="18"/>
          <w:color w:val="auto"/>
        </w:rPr>
        <w:t>: An algorithm is built to differentiate tumor samples from normal samples. This algorithm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combines numerous random and scarce methylation patterns to address challenges arising from low circulating levels of tumor DNA in early-stage cancer patients.</w:t>
      </w:r>
    </w:p>
    <w:p>
      <w:pPr>
        <w:spacing w:after="0" w:line="175" w:lineRule="exact"/>
        <w:rPr>
          <w:sz w:val="20"/>
          <w:szCs w:val="20"/>
          <w:color w:val="auto"/>
        </w:rPr>
      </w:pPr>
    </w:p>
    <w:p>
      <w:pPr>
        <w:jc w:val="both"/>
        <w:ind w:left="120" w:right="480" w:firstLine="440"/>
        <w:spacing w:after="0" w:line="224" w:lineRule="auto"/>
        <w:rPr>
          <w:sz w:val="20"/>
          <w:szCs w:val="20"/>
          <w:color w:val="auto"/>
        </w:rPr>
      </w:pPr>
      <w:r>
        <w:rPr>
          <w:rFonts w:ascii="Times New Roman" w:cs="Times New Roman" w:eastAsia="Times New Roman" w:hAnsi="Times New Roman"/>
          <w:sz w:val="18"/>
          <w:szCs w:val="18"/>
          <w:color w:val="auto"/>
        </w:rPr>
        <w:t>The graphs below show that our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enables higher recovery of circulating DNA in library preparation and sequencing as compared to two commercially available kits. The high recovery rate and deep sequencing of targeted methylated region facilitates the ultra-high detection sensitivity, with the limit of detection as low as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5246370" cy="1800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4637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right="140" w:hanging="424"/>
        <w:spacing w:after="0" w:line="209"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graph shows the unique read depth (Y-axis) observed with different quantities of DNA input (X-axis) of E.coli (DH5a)—a type of bacteria used in labs worldwide as a host for DNA sequences, using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two commercially available kits when sequenced to ~ 2,000X median depth. It shows that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unique read depth is consistently higher than the other two kits, which in turn enables higher recovery of circulating DNA in library preparation and sequencing.</w:t>
      </w:r>
    </w:p>
    <w:p>
      <w:pPr>
        <w:spacing w:after="0" w:line="1" w:lineRule="exact"/>
        <w:rPr>
          <w:rFonts w:ascii="Times New Roman" w:cs="Times New Roman" w:eastAsia="Times New Roman" w:hAnsi="Times New Roman"/>
          <w:sz w:val="18"/>
          <w:szCs w:val="18"/>
          <w:color w:val="auto"/>
        </w:rPr>
      </w:pPr>
    </w:p>
    <w:p>
      <w:pPr>
        <w:ind w:left="540" w:right="20" w:hanging="424"/>
        <w:spacing w:after="0" w:line="21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x-axis denotes cell lines with various known proportions of methylation sites, with the exact proportion numbers (from 0.00000, or 0.000% to 0.05, or 5%) as indicated in the box on the right; the y-axis denotes the percentage of methylation sites being recognized as positive using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graph demonstrates that even for the most signal-scarce sample—0.00001 (0.001%) tumor cell DNA shown as the yellow bar in the graph—the overall sample can still be recognized as positive, as indicated by the three asterisks in the graph. This result shows that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ultra-high detection sensitivity, with a limit of detection as low as 0.001%.</w:t>
      </w:r>
    </w:p>
    <w:p>
      <w:pPr>
        <w:spacing w:after="0" w:line="201" w:lineRule="exact"/>
        <w:rPr>
          <w:sz w:val="20"/>
          <w:szCs w:val="20"/>
          <w:color w:val="auto"/>
        </w:rPr>
      </w:pPr>
    </w:p>
    <w:p>
      <w:pPr>
        <w:ind w:left="120" w:firstLine="440"/>
        <w:spacing w:after="0" w:line="219" w:lineRule="auto"/>
        <w:rPr>
          <w:sz w:val="20"/>
          <w:szCs w:val="20"/>
          <w:color w:val="auto"/>
        </w:rPr>
      </w:pPr>
      <w:r>
        <w:rPr>
          <w:rFonts w:ascii="Times New Roman" w:cs="Times New Roman" w:eastAsia="Times New Roman" w:hAnsi="Times New Roman"/>
          <w:sz w:val="18"/>
          <w:szCs w:val="18"/>
          <w:color w:val="auto"/>
        </w:rPr>
        <w:t>In addition to OverC, we are in the early stages of developing a second-generation multi-cancer early detection (MCED) test intended to detect up to 22 cancer types. We plan to evaluate this candidate through a series of analytical and clinical validation activities, including training, validation, and independent validation using a case-control study design. The case-control cohort has completed sample collection, and we expect to utilize these samples to support ongoing and future development efforts. The timing, scope, and outcome of these development activities remain subject to various risks and uncertainties, which is our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detects lung, colorectal, liver, ovarian, pancreatic and esophageal cancers. We plan to ultimately upgrade this test to a pan-cancer test, with improved accuracy in determining the origin of tissue compared to the 3-cancer test and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have successfully signed contracts with a small number of pilot hospitals in China for the commercialization of our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expect to focus on customer education and contracting more hospitals. We are developing and validating cancer early detection products for coverage of more cancer types. In 2023, the 6-cancer THUNDER study was published in an Annals of Oncology article titled “Unintrusive multi-cancer detection by circulating cell-free DNA methylation sequencing (THUNDER): development and independent validation studies.” In 2023, the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also granted Breakthrough Device Designation by both FDA and NMPA. The table below sets forth the sensitivity of our 6-cancer test for the detection of stage I-IV lung, colorectal, liver, ovarian, pancreatic and esophageal cancers at 98.3% specificity.</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217170</wp:posOffset>
            </wp:positionV>
            <wp:extent cx="3291840" cy="1680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9184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started the development and analytical validation for our pan-cancer test, including to initiate two prospective, multi-center studies, the PREDICT study and the PRESCIENT study to further develop and validate our pan-cancer early detection test.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PRESCIENT study, which was launched in May 2021, was the first blood-based, pan-cancer early-detection study in China using a multi-omics approach.</w:t>
      </w:r>
    </w:p>
    <w:p>
      <w:pPr>
        <w:spacing w:after="0" w:line="162" w:lineRule="exact"/>
        <w:rPr>
          <w:sz w:val="20"/>
          <w:szCs w:val="20"/>
          <w:color w:val="auto"/>
        </w:rPr>
      </w:pPr>
    </w:p>
    <w:p>
      <w:pPr>
        <w:ind w:left="120" w:firstLine="440"/>
        <w:spacing w:after="0" w:line="209" w:lineRule="auto"/>
        <w:rPr>
          <w:sz w:val="20"/>
          <w:szCs w:val="20"/>
          <w:color w:val="auto"/>
        </w:rPr>
      </w:pPr>
      <w:r>
        <w:rPr>
          <w:rFonts w:ascii="Times New Roman" w:cs="Times New Roman" w:eastAsia="Times New Roman" w:hAnsi="Times New Roman"/>
          <w:sz w:val="18"/>
          <w:szCs w:val="18"/>
          <w:color w:val="auto"/>
        </w:rPr>
        <w:t>In June 2022, we launched PREVENT (a Prospective multi-canceR Early-detection and interVENTional) study, China’s first prospective interventional study to evaluate the performance of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asymptomatic population. As of the date of this annual report, the study has enrolled approximately 5,000 asymptomatic individuals, to evaluate the performance of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detecting six types of cancers, including lung, liver, colorectal, esophageal, pancreatic and ovarian cancers.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primarily offer various NGS-based tissue and liquid biopsy cancer therapy selection and prognosis prediction tests, catering to different clinical and affordability needs of the different cancer patient segments.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320" w:top="482" w:right="5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Therapy Selection Tests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13 key therapy selection tests we currently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171450</wp:posOffset>
            </wp:positionV>
            <wp:extent cx="6172200" cy="3343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722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OncoScreen</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Focus (LungCure CDx)</w:t>
      </w:r>
    </w:p>
    <w:p>
      <w:pPr>
        <w:spacing w:after="0" w:line="4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March 11, 2022, the National Medical Products Administration (NMPA) officially approved the registration of our Human Nine-Gene Mutation Joint Detection Kit (reversible termination sequencing)—(commercially known as “LungCure CDx”)—as a Class III medical device product. This test kit is our second NMPA-approved companion diagnostic multi-gene tumor mutation co-detection test kit based on high-throughput sequencing technology that meets companion diagnostic standards. It can be used for in vitro detection of multiple mutation statuses of EGFR, MET, ERBB2, KRAS, BRAF, PIK3CA, ALK, ROS1, and RET genes in non-small cell lung cancer patients, including point mutations, insertions/deletions, fusions (rearrangements), and amplifications, etc., to comprehensively guide targeted therapy for non-small cell lung cancer.</w:t>
      </w:r>
    </w:p>
    <w:p>
      <w:pPr>
        <w:spacing w:after="0" w:line="188"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On October 10, 2024, the companion diagnostic (CDx) for EGFR exon 20 insertion mutation (exon20ins) for sunvozertinib of Dizal, a global biopharmaceutical company, developed through our collaboration with Dizal Pharmaceutical Co., Ltd., or Dizal, a global biopharmaceutical company, has been approved by the National Medical Products Administration (NMPA) of China. This marks the first co-developed NGS-based CDx for lung cancer approved by NMPA since the release of the CDx guideline in China. The approval of this CDx test is the result of the simultaneous development of our independently developed LungCure CDx (a kit for the combined detection of 9 human gene mutations) and Dizal’s innovative EGFR exon20ins targeted therapy—sunvozertinib, providing an innovative precision treatment solution for non-small cell lung cancer patients with EGFR exon20ins.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OncoCompass</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Plus/OncoScreen</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Plus</w:t>
      </w:r>
    </w:p>
    <w:p>
      <w:pPr>
        <w:spacing w:after="0" w:line="49" w:lineRule="exact"/>
        <w:rPr>
          <w:sz w:val="20"/>
          <w:szCs w:val="20"/>
          <w:color w:val="auto"/>
        </w:rPr>
      </w:pPr>
    </w:p>
    <w:p>
      <w:pPr>
        <w:ind w:left="120" w:firstLine="440"/>
        <w:spacing w:after="0" w:line="199" w:lineRule="auto"/>
        <w:rPr>
          <w:sz w:val="20"/>
          <w:szCs w:val="20"/>
          <w:color w:val="auto"/>
        </w:rPr>
      </w:pPr>
      <w:r>
        <w:rPr>
          <w:rFonts w:ascii="Times New Roman" w:cs="Times New Roman" w:eastAsia="Times New Roman" w:hAnsi="Times New Roman"/>
          <w:sz w:val="18"/>
          <w:szCs w:val="18"/>
          <w:color w:val="auto"/>
        </w:rPr>
        <w:t>In 2015, we launched our pan-cancer test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(previously known as OncoScreen and upgraded to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 our pan-cancer test for tissue samples,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(previously known as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 the corresponding test for liquid biopsy samples, in 2017.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reflect the latest developments in targeted therapy and immunotherapy. These tests profile 520 genes associated with most solid tumors, such as lung cancer, colorectal cancer, breast cancer, ovarian cancer, bladder cancer and prostate cancer, for which a targeted therapy has been approved by the FDA or NMPA or is in current clinical development. In addition to detecting the genomic alternations of the targeted genes,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also detect important immune-oncology biomarkers including TMB and MSI, as well as rare but clinically actionable biomarkers, such as NTRK fusions, which provide important insights for therapy selection.</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82"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key specifications of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40" w:type="dxa"/>
            <w:vAlign w:val="bottom"/>
            <w:vMerge w:val="restart"/>
          </w:tcPr>
          <w:p>
            <w:pPr>
              <w:spacing w:after="0"/>
              <w:rPr>
                <w:sz w:val="13"/>
                <w:szCs w:val="13"/>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and Operational Specifications</w:t>
            </w:r>
          </w:p>
        </w:tc>
        <w:tc>
          <w:tcPr>
            <w:tcW w:w="3540" w:type="dxa"/>
            <w:vAlign w:val="bottom"/>
            <w:vMerge w:val="restart"/>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OncoScreen</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rPr>
              <w:t xml:space="preserve"> Plus/</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4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15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OncoCompass</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rPr>
              <w:t xml:space="preserve"> Plus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Number of genes</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Immunotherapy biomarkers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TMB, MSI</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 of detection (on hot-spot mutations)</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351"/>
        </w:trPr>
        <w:tc>
          <w:tcPr>
            <w:tcW w:w="12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turnaround time</w:t>
            </w:r>
            <w:r>
              <w:rPr>
                <w:rFonts w:ascii="Times New Roman" w:cs="Times New Roman" w:eastAsia="Times New Roman" w:hAnsi="Times New Roman"/>
                <w:sz w:val="26"/>
                <w:szCs w:val="26"/>
                <w:color w:val="auto"/>
                <w:vertAlign w:val="superscript"/>
              </w:rPr>
              <w:t>(1)</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days</w:t>
            </w:r>
          </w:p>
        </w:tc>
        <w:tc>
          <w:tcPr>
            <w:tcW w:w="0" w:type="dxa"/>
            <w:vAlign w:val="bottom"/>
          </w:tcPr>
          <w:p>
            <w:pPr>
              <w:spacing w:after="0"/>
              <w:rPr>
                <w:sz w:val="1"/>
                <w:szCs w:val="1"/>
                <w:color w:val="auto"/>
              </w:rPr>
            </w:pPr>
          </w:p>
        </w:tc>
      </w:tr>
      <w:tr>
        <w:trPr>
          <w:trHeight w:val="250"/>
        </w:trPr>
        <w:tc>
          <w:tcPr>
            <w:tcW w:w="7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For the year ended December 31, 2025.</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03" w:lineRule="auto"/>
        <w:rPr>
          <w:sz w:val="20"/>
          <w:szCs w:val="20"/>
          <w:color w:val="auto"/>
        </w:rPr>
      </w:pPr>
      <w:r>
        <w:rPr>
          <w:rFonts w:ascii="Times New Roman" w:cs="Times New Roman" w:eastAsia="Times New Roman" w:hAnsi="Times New Roman"/>
          <w:sz w:val="18"/>
          <w:szCs w:val="18"/>
          <w:color w:val="auto"/>
        </w:rPr>
        <w:t>The design and performance of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have been endorsed by their adoption in over 20 clinical trials and studies. For example,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was selected by CStone in its Phase III clinical trial of CS1001—one of CStone’s core product candidates that targets PD-L1—to detect TMB, which can potentially identify the patients who may benefit from treatment of CS1001. Janssen, a subsidiary of Johnson &amp; Johnson, selected our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in a clinical study to conduct analysis of blood samples collected from patients with various kinds of advanced solid tumors.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also participated in the FDA-initiated SEQC2 study for global tissue-based NGS assay comparison.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and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were also used in research studies that resulted in publications in high- impact journals, including Clinical Cancer Research and Cancer Cell. Our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was also featured in a phase 3 multi-regional clinical trial sponsored by AstraZeneca, one of our pharma clients. This clinical trial assessed the efficacy and safety of Capivasertib–fulvestrant therapy in advanced breast cancer patients with hormone receptor positive (HR+), human epidermal growth factor receptor 2 negative (HER2-) cancer whose disease had progressed during or after aromatase inhibitor therapy. This clinical study further resulted in the 2023 June The New England Journal of Medicine article titled “Capivasertib in Hormone Receptor–Positive Advanced Breast Cancer.”</w:t>
      </w: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OncoCompass</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Target</w:t>
      </w:r>
    </w:p>
    <w:p>
      <w:pPr>
        <w:spacing w:after="0" w:line="49" w:lineRule="exact"/>
        <w:rPr>
          <w:sz w:val="20"/>
          <w:szCs w:val="20"/>
          <w:color w:val="auto"/>
        </w:rPr>
      </w:pPr>
    </w:p>
    <w:p>
      <w:pPr>
        <w:ind w:left="120" w:right="340" w:firstLine="440"/>
        <w:spacing w:after="0" w:line="237" w:lineRule="auto"/>
        <w:rPr>
          <w:sz w:val="20"/>
          <w:szCs w:val="20"/>
          <w:color w:val="auto"/>
        </w:rPr>
      </w:pPr>
      <w:r>
        <w:rPr>
          <w:rFonts w:ascii="Times New Roman" w:cs="Times New Roman" w:eastAsia="Times New Roman" w:hAnsi="Times New Roman"/>
          <w:sz w:val="18"/>
          <w:szCs w:val="18"/>
          <w:color w:val="auto"/>
        </w:rPr>
        <w:t>In 2015, we launched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our ctDNA liquid biopsy-based test for NSCLC, which we upgraded to a pan-cancer test for all solid tumors. This test analyzes 168 genes that are related to the development of NSCLC and solid tumors, including all genes that have a targeted therapy that is FDA- or NMPA-approved or NCCN-recommended. It provides information with optimal clinical value for cancer patients, especially advanced-stage cancer patients who do not have accessible tissue, for various solid tumors across treatment stages, from baseline profiling, dynamic monitoring to MRD detection. The table below sets forth the key specifications of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40" w:type="dxa"/>
            <w:vAlign w:val="bottom"/>
            <w:vMerge w:val="restart"/>
          </w:tcPr>
          <w:p>
            <w:pPr>
              <w:spacing w:after="0"/>
              <w:rPr>
                <w:sz w:val="13"/>
                <w:szCs w:val="13"/>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and Operational Specifications</w:t>
            </w:r>
          </w:p>
        </w:tc>
        <w:tc>
          <w:tcPr>
            <w:tcW w:w="3840" w:type="dxa"/>
            <w:vAlign w:val="bottom"/>
            <w:vMerge w:val="restart"/>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OncoCompass</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4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120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Targe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Number of genes</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Immunotherapy biomarkers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MSI</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 of detection (defined at 80% sensitivity)</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60"/>
        </w:trPr>
        <w:tc>
          <w:tcPr>
            <w:tcW w:w="12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samples processed within 7 days</w:t>
            </w:r>
            <w:r>
              <w:rPr>
                <w:rFonts w:ascii="Times New Roman" w:cs="Times New Roman" w:eastAsia="Times New Roman" w:hAnsi="Times New Roman"/>
                <w:sz w:val="26"/>
                <w:szCs w:val="26"/>
                <w:color w:val="auto"/>
                <w:vertAlign w:val="superscript"/>
              </w:rPr>
              <w:t>(1)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 days</w:t>
            </w:r>
          </w:p>
        </w:tc>
        <w:tc>
          <w:tcPr>
            <w:tcW w:w="0" w:type="dxa"/>
            <w:vAlign w:val="bottom"/>
          </w:tcPr>
          <w:p>
            <w:pPr>
              <w:spacing w:after="0"/>
              <w:rPr>
                <w:sz w:val="1"/>
                <w:szCs w:val="1"/>
                <w:color w:val="auto"/>
              </w:rPr>
            </w:pPr>
          </w:p>
        </w:tc>
      </w:tr>
      <w:tr>
        <w:trPr>
          <w:trHeight w:val="241"/>
        </w:trPr>
        <w:tc>
          <w:tcPr>
            <w:tcW w:w="8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For the year ended December 31, 2025.</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187" w:lineRule="auto"/>
        <w:rPr>
          <w:sz w:val="20"/>
          <w:szCs w:val="20"/>
          <w:color w:val="auto"/>
        </w:rPr>
      </w:pPr>
      <w:r>
        <w:rPr>
          <w:rFonts w:ascii="Times New Roman" w:cs="Times New Roman" w:eastAsia="Times New Roman" w:hAnsi="Times New Roman"/>
          <w:sz w:val="18"/>
          <w:szCs w:val="18"/>
          <w:color w:val="auto"/>
        </w:rPr>
        <w:t>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demonstrates consistently high sensitivity in liquid biopsies for biomarkers that are difficult to detect using conventional methods. For example, 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can detect actionable mutations among treatment-naive stage IV NSCLC patients with sensitivity of 96% and specificity greater than 99%. In a separate study,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detected ALK fusion with a sensitivity of 79%. From a real-world cohort of 1016 patients with paired tissue and plasma samples tested simultaneously,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could detect at least one actionable mutation among 74% patients from tissues samples, 61% from plasma samples, or 76% from either.</w:t>
      </w:r>
    </w:p>
    <w:p>
      <w:pPr>
        <w:spacing w:after="0" w:line="203" w:lineRule="exact"/>
        <w:rPr>
          <w:sz w:val="20"/>
          <w:szCs w:val="20"/>
          <w:color w:val="auto"/>
        </w:rPr>
      </w:pPr>
    </w:p>
    <w:p>
      <w:pPr>
        <w:ind w:left="120" w:right="960" w:firstLine="440"/>
        <w:spacing w:after="0" w:line="213" w:lineRule="auto"/>
        <w:rPr>
          <w:sz w:val="20"/>
          <w:szCs w:val="20"/>
          <w:color w:val="auto"/>
        </w:rPr>
      </w:pPr>
      <w:r>
        <w:rPr>
          <w:rFonts w:ascii="Times New Roman" w:cs="Times New Roman" w:eastAsia="Times New Roman" w:hAnsi="Times New Roman"/>
          <w:sz w:val="18"/>
          <w:szCs w:val="18"/>
          <w:color w:val="auto"/>
        </w:rPr>
        <w:t>The performance of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has been validated in clinical trials and research studies led by international and domestic pharmaceutical companies and leading oncology key opinion leaders, including:</w:t>
      </w:r>
    </w:p>
    <w:p>
      <w:pPr>
        <w:spacing w:after="0" w:line="104" w:lineRule="exact"/>
        <w:rPr>
          <w:sz w:val="20"/>
          <w:szCs w:val="20"/>
          <w:color w:val="auto"/>
        </w:rPr>
      </w:pPr>
    </w:p>
    <w:p>
      <w:pPr>
        <w:ind w:left="1080" w:right="100" w:hanging="424"/>
        <w:spacing w:after="0" w:line="207"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2017 study that was published in the Journal of Thoracic Oncology titled “Capture-based targeted ultradeep sequencing in paired tissue and plasma samples demonstrates differential subclonal ctDNA-releasing capability in advanced lung cancer,” in which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presented high concordance between the paired tissue and plasma samples, illustrating its high clinical feasibility and utility. In this study, the specificity of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for all targeted genomic alterations was higher than 99%, and the sensitivity of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was 87.2% for all targeted genomic alterations and 96.2% for the known actionable driver mutations among the 7 NCCN-recommended genes.</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4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was applied in the exploratory biomarker sub-study within the BENEFIT study, which was an innovatively designed prospective study where patients were tested for EGFR mutations based solely on liquid biopsy and recruited to test the efficacy of Gefitinib among EGFR-mutant patients. The BENEFIT study was published in the Lancet Respiratory Medicine titled “Detection of EGFR mutations in plasma circulating tumor DNA as a selection criterion for first-line gefitinib treatment in patients with advanced lung adenocarcinoma (BENEFIT): a phase 2, single-arm, multicenter clinical trial”. In this study, concurrent mutations identified by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were able to further stratify EGFR-mutant patients into groups with differential response to Gefetinib.</w:t>
      </w:r>
    </w:p>
    <w:p>
      <w:pPr>
        <w:spacing w:after="0" w:line="5" w:lineRule="exact"/>
        <w:rPr>
          <w:rFonts w:ascii="Times New Roman" w:cs="Times New Roman" w:eastAsia="Times New Roman" w:hAnsi="Times New Roman"/>
          <w:sz w:val="18"/>
          <w:szCs w:val="18"/>
          <w:color w:val="auto"/>
        </w:rPr>
      </w:pPr>
    </w:p>
    <w:p>
      <w:pPr>
        <w:ind w:left="1080" w:right="700" w:hanging="424"/>
        <w:spacing w:after="0" w:line="204"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was selected by AstraZeneca as the only NGS-based product for its Tagrisso (Osimertinib) Phase III diagnostic methods comparison study.</w:t>
      </w:r>
    </w:p>
    <w:p>
      <w:pPr>
        <w:spacing w:after="0" w:line="103" w:lineRule="exact"/>
        <w:rPr>
          <w:rFonts w:ascii="Times New Roman" w:cs="Times New Roman" w:eastAsia="Times New Roman" w:hAnsi="Times New Roman"/>
          <w:sz w:val="18"/>
          <w:szCs w:val="18"/>
          <w:color w:val="auto"/>
        </w:rPr>
      </w:pPr>
    </w:p>
    <w:p>
      <w:pPr>
        <w:ind w:left="1080" w:right="20" w:hanging="424"/>
        <w:spacing w:after="0" w:line="213"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was selected in our companion diagnostics (“CDx”) collaboration with Merck for the MET inhibitor tepotinib for the China market.</w:t>
      </w:r>
    </w:p>
    <w:p>
      <w:pPr>
        <w:spacing w:after="0" w:line="199"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has also been used in a number of high impact research studies, with results published in over 50 peer-reviewed articles in academic journals, including Journal of Thoracic Cancer, Annals of Oncology and Lancet Respiratory Medicine. For example, 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was used in the following research studies: (1) a research study that resulted in the 2018 January Annals of Oncology article titled “Unique genetic profiles from cerebrospinal fluid cell-free DNA in leptomeningeal metastases of EGFR-mutant non-small-cell lung cancer: a new medium of liquid biopsy,” which we jointly published with Professor Yi-Long Wu; (2) a research study that resulted in the 2018 July Journal of Thoracic Onology article titled “First-in-human Phase I study of AC0010, a mutant-selective EGFR inhibitor in non-small cell lung cancer: safety, efficacy and potential mechanism of resistance,” which we jointly published with Professor Li Zhang; (3) a research study that resulted in the 2020 February Journal of Thoracic Cancer article titled “Detection of non-reciprocal/reciprocal ALK translocation as poor predictive marker in first-line crizotinib-treated ALK-rearranged non-small cell lung cancer patients,” which we jointly published with Professor Nong Yang; (4) a research study that resulted in the 2019 December Translational Lung Cancer Research article titled “Parallel serial assessment of somatic mutation and methylation profile from circulating tumor DNA predicts treatment response and impending disease progression in osimertinib-treated lung adenocarcinoma patients,” which we jointly published with Professor Yuan Chen; and (5) a research study that resulted in the 2020 April Translational Lung Cancer Research article titled “Circulating tumor DNA clearance predicts prognosis across treatment regimen in a large real-world longitudinally monitored advanced non-small cell lung cancer cohort”, which we jointly published with Professor Shun Lu.</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published studies provide further evidence of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Target’s accurate and consistent test performance.</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ColonCore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ColonCore, which we launched in 2016, has been further enhanced and upgraded to improve its performance and clinical utility. The current version is capable of simultaneously assessing 82 microsatellite loci associated with microsatellite instability (MSI) status and detecting mutations in 46 genes relevant to gastrointestinal and related cancers. The upgraded assay enables MSI detection in both colorectal cancer and endometrial cancer across tissue and plasma samples.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ColonCore has been validated in multiple studies in China for next-generation sequencing-based detection of MSI from both tissue and plasma samples. According to a March 2018 article published in the Journal of Molecular Diagnostics titled “A Novel and Reliable Method to Detect Microsatellite Instability in Colorectal Cancer by Next-Generation Sequencing”, the assay demonstrated specificity and sensitivity of 100% and 97.9%, respectively. ColonCore has also been endorsed and recommended in Chinese expert consensus guidelines on MSI testing.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Prognosis Prediction Tests</w:t>
      </w:r>
    </w:p>
    <w:p>
      <w:pPr>
        <w:spacing w:after="0" w:line="121" w:lineRule="exact"/>
        <w:rPr>
          <w:sz w:val="20"/>
          <w:szCs w:val="20"/>
          <w:color w:val="auto"/>
        </w:rPr>
      </w:pPr>
    </w:p>
    <w:p>
      <w:pPr>
        <w:ind w:left="120" w:right="60" w:firstLine="440"/>
        <w:spacing w:after="0" w:line="216" w:lineRule="auto"/>
        <w:rPr>
          <w:sz w:val="20"/>
          <w:szCs w:val="20"/>
          <w:color w:val="auto"/>
        </w:rPr>
      </w:pPr>
      <w:r>
        <w:rPr>
          <w:rFonts w:ascii="Times New Roman" w:cs="Times New Roman" w:eastAsia="Times New Roman" w:hAnsi="Times New Roman"/>
          <w:sz w:val="18"/>
          <w:szCs w:val="18"/>
          <w:color w:val="auto"/>
        </w:rPr>
        <w:t>We launched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(previously known as brPROPHET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March 2022, which is our self-developed MRD product based on personalized approach. It has demonstrated superior sensitivity and specificity to fixed panel in pre-operative ctDNA detection and post-operative MRD calling among relapsed patients. A recent study published in September 2023 in Cancer Cell highlighted the advancements enabled by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treatment of early-stage non-small cell lung cancer (NSCLC). In MEDAL-Informed MRD study,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demonstrated superior performance in head-to-head comparisons with tumor-agnostic fixed-panel and tumor-informed fixed-panel MRD assays.</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60"/>
          </w:cols>
          <w:pgMar w:left="320" w:top="482"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121" w:lineRule="exact"/>
        <w:rPr>
          <w:sz w:val="20"/>
          <w:szCs w:val="20"/>
          <w:color w:val="auto"/>
        </w:rPr>
      </w:pPr>
    </w:p>
    <w:p>
      <w:pPr>
        <w:jc w:val="both"/>
        <w:ind w:left="120" w:right="20" w:firstLine="440"/>
        <w:spacing w:after="0" w:line="230" w:lineRule="auto"/>
        <w:rPr>
          <w:sz w:val="20"/>
          <w:szCs w:val="20"/>
          <w:color w:val="auto"/>
        </w:rPr>
      </w:pPr>
      <w:r>
        <w:rPr>
          <w:rFonts w:ascii="Times New Roman" w:cs="Times New Roman" w:eastAsia="Times New Roman" w:hAnsi="Times New Roman"/>
          <w:sz w:val="18"/>
          <w:szCs w:val="18"/>
          <w:color w:val="auto"/>
        </w:rPr>
        <w:t>We also offer a number of Magnis BR-customized version of our key products. In addition, in November 2020, we entered into a development and commercialization agreement with Myriad Genetics, Inc. (NASDAQ: MYGN, “Myriad”) to in-license Myriad myChoice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tumor testing in China. This test enables physicians to identify patients with tumors that have lost the ability to repair double-stranded DNA breaks, resulting in potentially increased susceptibility to DNA-damaging drugs such as platinum drugs or PARP inhibitors.</w:t>
      </w:r>
    </w:p>
    <w:p>
      <w:pPr>
        <w:spacing w:after="0" w:line="198" w:lineRule="exact"/>
        <w:rPr>
          <w:sz w:val="20"/>
          <w:szCs w:val="20"/>
          <w:color w:val="auto"/>
        </w:rPr>
      </w:pPr>
    </w:p>
    <w:p>
      <w:pPr>
        <w:ind w:left="120" w:right="300" w:firstLine="440"/>
        <w:spacing w:after="0" w:line="213" w:lineRule="auto"/>
        <w:rPr>
          <w:sz w:val="20"/>
          <w:szCs w:val="20"/>
          <w:color w:val="auto"/>
        </w:rPr>
      </w:pPr>
      <w:r>
        <w:rPr>
          <w:rFonts w:ascii="Times New Roman" w:cs="Times New Roman" w:eastAsia="Times New Roman" w:hAnsi="Times New Roman"/>
          <w:sz w:val="18"/>
          <w:szCs w:val="18"/>
          <w:color w:val="auto"/>
        </w:rPr>
        <w:t>In December 2021, we launched OncoMaster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 automatic NGS data analysis and report interpretation machine, which can complement our in-hospital model through providing simple, efficient and accurate data analysis solutions.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Certifications and Regulatory Approvals</w:t>
      </w:r>
    </w:p>
    <w:p>
      <w:pPr>
        <w:spacing w:after="0" w:line="121" w:lineRule="exact"/>
        <w:rPr>
          <w:sz w:val="20"/>
          <w:szCs w:val="20"/>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7"/>
          <w:szCs w:val="17"/>
          <w:color w:val="auto"/>
        </w:rPr>
        <w:t>We are committed to developing and maintaining high quality standards for our laboratory and products. As part of this effort, we voluntarily sought and obtained certifications from the relevant U.S. certifying authorities. We have also obtained Conformite Europeenne (“CE”) marking for certain of our products, including OncoScreen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IO, OncoCompass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Target and OncoScreen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Focus, enabling us to sell these products within the European Union and certain other jurisdictions recognizing CE marking. We have also obtained the NCCL certification for our central laboratory and the NMPA approval for two NGS-based reagent kits. We are the first company in China that has an NGS laboratory that has been certified by the CLIA and the NCCL and accredited by the CAP. We are also the first company in China with NMPA-approved NGS-based reagent kits. We have two NMPA-approved NGS-based reagent kits as of the date of this annual report. In particular, in March 2022, the NMPA approved our human nine-gene mutation joint detection kit (reversible termination sequencing) (LungCure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CDx) for non-small cell lung cancer as a Class III medical device. This approval demonstrates our industry-leading capability of working with the NMPA on bringing an innovative NGS-based diagnostic product to the China market. In addition, we have one early cancer detection product, OverC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that has been granted Breakthrough Device Designation by both the FDA and the NMPA. We believe these certifications and regulatory approvals demonstrate the efficiency, accuracy and consistency of our testing services.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We aspire to become a world-class cancer diagnostics company, and we believe an integral step to achieving this goal is for our laboratory to</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comply with world-class certification requirements. Accordingly, we voluntarily applied for and obtained the following certifications and accreditations: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FDA application</w:t>
      </w:r>
      <w:r>
        <w:rPr>
          <w:rFonts w:ascii="Times New Roman" w:cs="Times New Roman" w:eastAsia="Times New Roman" w:hAnsi="Times New Roman"/>
          <w:sz w:val="17"/>
          <w:szCs w:val="17"/>
          <w:color w:val="auto"/>
        </w:rPr>
        <w:t>. In January 2023, our OverC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granted Breakthrough Device Designation by the FDA, which is the third of its kind globally.</w:t>
      </w:r>
    </w:p>
    <w:p>
      <w:pPr>
        <w:spacing w:after="0" w:line="14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Under the FDA’s Breakthrough Devices Program, the Breakthrough Device Designation is granted to certain medical devices that provide for more effective treatment or diagnosis of life-threatening or irreversibly debilitating diseases or conditions such as cancer. This program is designed to provide patients and healthcare providers with timely access to medical devices granted the designation by speeding up their development, assessment, and review. This designation demonstrated our industry-leading R&amp;D capabilities in developing cancer early detection products.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CLIA certification</w:t>
      </w:r>
      <w:r>
        <w:rPr>
          <w:rFonts w:ascii="Times New Roman" w:cs="Times New Roman" w:eastAsia="Times New Roman" w:hAnsi="Times New Roman"/>
          <w:sz w:val="18"/>
          <w:szCs w:val="18"/>
          <w:color w:val="auto"/>
        </w:rPr>
        <w:t>. The Clinical Laboratory Improvement Amendments, or the CLIA, mandate specific standards in the areas of personnel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qualifications, administration, and participation in proficiency testing, patient test management, quality control, quality assurance and inspections. These standards are intended to ensure that CLIA-certified laboratories’ testing services are accurate, reliable and timely. In the U.S., clinical laboratories must be CLIA-certified by the Centers for Medicare &amp; Medicaid Services, or the CMS, before they can accept human samples for diagnostic testing. In January 2017, our central laboratory became the first NGS laboratory in China to be CLIA-certified—one and a half years ahead of our competitors. In November 2024, we successfully renewed our CLIA certification.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 accreditation</w:t>
      </w:r>
      <w:r>
        <w:rPr>
          <w:rFonts w:ascii="Times New Roman" w:cs="Times New Roman" w:eastAsia="Times New Roman" w:hAnsi="Times New Roman"/>
          <w:sz w:val="18"/>
          <w:szCs w:val="18"/>
          <w:color w:val="auto"/>
        </w:rPr>
        <w:t>. The CAP accredits laboratories performing testing on specimens from human beings or animals, using methodologies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application within the expertise of the program. In the U.S., the CMS has deemed CAP standards to be equal to or more stringent than CLIA regulations. Our central laboratory was accredited by the CAP and we successfully renewed this accreditation in January 2024.</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Cancer genotyping is a nascent and rapidly evolving industry. Given the nature of the industry, relevant regulatory authorities in China, similar to their counterparts in the U.S., are constantly drafting and refining the regulatory requirements to implement quality management systems in the industry. We are one of the pioneers in China’s cancer genotyping industry, and have worked with regulators to share our insights on the nature of the NGS technology while seeking comprehensive approvals, setting high industry standards. We have obtained the following certifications in China:</w:t>
      </w:r>
    </w:p>
    <w:p>
      <w:pPr>
        <w:spacing w:after="0" w:line="176"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NCCL certification</w:t>
      </w:r>
      <w:r>
        <w:rPr>
          <w:rFonts w:ascii="Times New Roman" w:cs="Times New Roman" w:eastAsia="Times New Roman" w:hAnsi="Times New Roman"/>
          <w:sz w:val="18"/>
          <w:szCs w:val="18"/>
          <w:color w:val="auto"/>
        </w:rPr>
        <w:t>. The NCCL is the supervising authority of NGS laboratories in China. Our central laboratory in Guangzhou was the second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one of the only three NGS laboratories in China to have passed comprehensive review by the provincial centers for clinical laboratories led by the NCCL. In May 2018, we were certified by, and received NGS laboratory certification from, the Guangdong branch of the NCCL. Our central laboratory also renewed our clinical PCR testing laboratory certificate issued by Guangdong Branch of the NCCL in June 2024, and the certificate is valid for five years.</w:t>
      </w:r>
    </w:p>
    <w:p>
      <w:pPr>
        <w:spacing w:after="0" w:line="179" w:lineRule="exact"/>
        <w:rPr>
          <w:sz w:val="20"/>
          <w:szCs w:val="20"/>
          <w:color w:val="auto"/>
        </w:rPr>
      </w:pPr>
    </w:p>
    <w:p>
      <w:pPr>
        <w:ind w:left="120" w:right="20" w:firstLine="440"/>
        <w:spacing w:after="0" w:line="211" w:lineRule="auto"/>
        <w:rPr>
          <w:sz w:val="20"/>
          <w:szCs w:val="20"/>
          <w:color w:val="auto"/>
        </w:rPr>
      </w:pPr>
      <w:r>
        <w:rPr>
          <w:rFonts w:ascii="Times New Roman" w:cs="Times New Roman" w:eastAsia="Times New Roman" w:hAnsi="Times New Roman"/>
          <w:sz w:val="18"/>
          <w:szCs w:val="18"/>
          <w:b w:val="1"/>
          <w:bCs w:val="1"/>
          <w:i w:val="1"/>
          <w:iCs w:val="1"/>
          <w:color w:val="auto"/>
        </w:rPr>
        <w:t>NMPA approval</w:t>
      </w:r>
      <w:r>
        <w:rPr>
          <w:rFonts w:ascii="Times New Roman" w:cs="Times New Roman" w:eastAsia="Times New Roman" w:hAnsi="Times New Roman"/>
          <w:sz w:val="18"/>
          <w:szCs w:val="18"/>
          <w:color w:val="auto"/>
        </w:rPr>
        <w:t>. We are a pioneer in our industry in seeking and obtaining the NMPA approval. In November 2016, our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innovative medical device in the oncology application field that was approved to enter the “Innovative Device Pathway,” a fast-track review for innovative medical device, similar to the FDA’s “Breakthrough Device Program.” In July 2018, our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Focus was approved by the NMPA and became the NMPA’s first approved NGS-based reagent kit. In March 2022, the NMPA approved our human nine-gene mutation joint detection kit (reversible termination sequencing) (LungCure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CDx) for non-small cell lung cancer as a Class III medical device. This approval demonstrates our industry-leading capability of working with the NMPA on bringing an innovative NGS-based diagnostic product to the China market. We plan to seek approval for more reagent kits with the NMPA. In October 2023, our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also received the Breakthrough Device Designation by the NMPA in October 2023, making it the only plasma-based multi-cancer early detection test globally that has received Breakthrough Device Designation from both the FDA and the NMPA.</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Jurisdictions</w:t>
      </w:r>
    </w:p>
    <w:p>
      <w:pPr>
        <w:spacing w:after="0" w:line="121" w:lineRule="exact"/>
        <w:rPr>
          <w:sz w:val="20"/>
          <w:szCs w:val="20"/>
          <w:color w:val="auto"/>
        </w:rPr>
      </w:pPr>
    </w:p>
    <w:p>
      <w:pPr>
        <w:ind w:left="120" w:firstLine="440"/>
        <w:spacing w:after="0" w:line="216" w:lineRule="auto"/>
        <w:rPr>
          <w:sz w:val="20"/>
          <w:szCs w:val="20"/>
          <w:color w:val="auto"/>
        </w:rPr>
      </w:pPr>
      <w:r>
        <w:rPr>
          <w:rFonts w:ascii="Times New Roman" w:cs="Times New Roman" w:eastAsia="Times New Roman" w:hAnsi="Times New Roman"/>
          <w:sz w:val="18"/>
          <w:szCs w:val="18"/>
          <w:color w:val="auto"/>
        </w:rPr>
        <w:t>We have also obtained CE marking for four of our products, including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Focus CDx Tissue Kit,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Cancer Mutation Profiling Liquid Kit,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Cancer Mutation Profiling Tissue Kit and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Multi-Cancer Detection Blood Test. CE marking is mandatory for certain products intended for sale within the European Union and certain other jurisdictions recognizing CE marking. It demonstrates these products’ conformity with European health, safety, and environmental protection standards. In addition, we have also obtained the MHLW approval for one of our products based on OncoScreen™ Plus and have commenced sales in Japan in 2025.</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Academic Collaborations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seek to raise the profile of our technologies and products in China’s medical community and encourage their adoption through two principal channels: collaborations with oncology key opinion leaders—where we either collaborate with them and co-author papers or through studies conducted by oncology key opinion leaders using our products, both of which are published in leading academic journals; and collaboration with pharmaceutical companies—where we collaborate with them on targeted therapies and immunotherapies under clinical investigation.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Physicians look to peer experts and key opinion leaders in the medical community for guidance in research, diagnosis and treatment. We believe our relationships with oncology key opinion leaders, as well as the resulting peer-to-peer interaction they have generated, have been instrumental in raising the awareness of our technology platform and driving adoption of our products.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form academic collaborations with oncology key opinion leaders where our products are used in clinical trials and research studies on cancer targeted therapies and immunotherapies, the results of which have been published in over 500 peer-reviewed articles in the Journal of Clinical Oncology, Lancet Respiratory Medicine, Clinical Cancer Research, Journal of Thoracic Oncology, Annals of Oncology and other academic journals.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table below highlights some of our publication collaborations with influential oncology key opinion leaders based on these clinical trials and research studies:</w:t>
      </w:r>
    </w:p>
    <w:p>
      <w:pPr>
        <w:sectPr>
          <w:pgSz w:w="11900" w:h="16838" w:orient="portrait"/>
          <w:cols w:equalWidth="0" w:num="1">
            <w:col w:w="11140"/>
          </w:cols>
          <w:pgMar w:left="320" w:top="482" w:right="439" w:bottom="1440" w:gutter="0" w:footer="0" w:header="0"/>
        </w:sectPr>
      </w:pP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Collaborating Key Opinion Leaders</w:t>
            </w:r>
          </w:p>
        </w:tc>
        <w:tc>
          <w:tcPr>
            <w:tcW w:w="264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Journal Title</w:t>
            </w:r>
          </w:p>
        </w:tc>
        <w:tc>
          <w:tcPr>
            <w:tcW w:w="100" w:type="dxa"/>
            <w:vAlign w:val="bottom"/>
          </w:tcPr>
          <w:p>
            <w:pPr>
              <w:spacing w:after="0"/>
              <w:rPr>
                <w:sz w:val="16"/>
                <w:szCs w:val="16"/>
                <w:color w:val="auto"/>
              </w:rPr>
            </w:pPr>
          </w:p>
        </w:tc>
        <w:tc>
          <w:tcPr>
            <w:tcW w:w="26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Article Title</w:t>
            </w:r>
          </w:p>
        </w:tc>
      </w:tr>
      <w:tr>
        <w:trPr>
          <w:trHeight w:val="191"/>
        </w:trPr>
        <w:tc>
          <w:tcPr>
            <w:tcW w:w="3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Qiang Gao and Jia Fan, oncologists</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Annals of Oncology</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Unintrusive multi-cancer detection</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residing in Zhongshan Hospital, Fudan</w:t>
            </w:r>
          </w:p>
        </w:tc>
        <w:tc>
          <w:tcPr>
            <w:tcW w:w="264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circulating cell-free DNA</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University</w:t>
            </w:r>
          </w:p>
        </w:tc>
        <w:tc>
          <w:tcPr>
            <w:tcW w:w="264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methylation sequencing</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(THUNDER): development and</w:t>
            </w: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validation studies</w:t>
            </w: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465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9"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Our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validated in the THUNDER study, a large-scale prospective six-cancer case-control study</w:t>
      </w:r>
    </w:p>
    <w:p>
      <w:pPr>
        <w:spacing w:after="0" w:line="306" w:lineRule="exact"/>
        <w:rPr>
          <w:sz w:val="20"/>
          <w:szCs w:val="20"/>
          <w:color w:val="auto"/>
        </w:rPr>
      </w:pPr>
    </w:p>
    <w:p>
      <w:pPr>
        <w:sectPr>
          <w:pgSz w:w="11900" w:h="16838" w:orient="portrait"/>
          <w:cols w:equalWidth="0" w:num="2">
            <w:col w:w="8680" w:space="140"/>
            <w:col w:w="2320"/>
          </w:cols>
          <w:pgMar w:left="320" w:top="482" w:right="439" w:bottom="1440" w:gutter="0" w:footer="0" w:header="0"/>
          <w:type w:val="continuous"/>
        </w:sectPr>
      </w:pPr>
    </w:p>
    <w:p>
      <w:pPr>
        <w:ind w:left="120" w:right="900"/>
        <w:spacing w:after="0" w:line="257" w:lineRule="auto"/>
        <w:rPr>
          <w:sz w:val="20"/>
          <w:szCs w:val="20"/>
          <w:color w:val="auto"/>
        </w:rPr>
      </w:pPr>
      <w:r>
        <w:rPr>
          <w:rFonts w:ascii="Times New Roman" w:cs="Times New Roman" w:eastAsia="Times New Roman" w:hAnsi="Times New Roman"/>
          <w:sz w:val="18"/>
          <w:szCs w:val="18"/>
          <w:color w:val="auto"/>
        </w:rPr>
        <w:t>Juan Zhou and Minwei Bao, oncologists BMC Medicine residing in the Shanghai Pulmonary Hospital &amp; Thoracic Cancer Institute,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Tongji University School of Medicine</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Increased blood-based intratumor heterogeneity (bITH) is associated with unfavorable outcomes of immune checkpoint inhibitors plus chemotherapy in non-small cell lung cancer</w:t>
      </w:r>
    </w:p>
    <w:p>
      <w:pPr>
        <w:spacing w:after="0" w:line="20" w:lineRule="exact"/>
        <w:rPr>
          <w:sz w:val="20"/>
          <w:szCs w:val="20"/>
          <w:color w:val="auto"/>
        </w:rPr>
      </w:pPr>
      <w:r>
        <w:rPr>
          <w:sz w:val="20"/>
          <w:szCs w:val="20"/>
          <w:color w:val="auto"/>
        </w:rPr>
        <w:br w:type="column"/>
      </w:r>
    </w:p>
    <w:p>
      <w:pPr>
        <w:ind w:right="160"/>
        <w:spacing w:after="0" w:line="255" w:lineRule="auto"/>
        <w:rPr>
          <w:sz w:val="20"/>
          <w:szCs w:val="20"/>
          <w:color w:val="auto"/>
        </w:rPr>
      </w:pPr>
      <w:r>
        <w:rPr>
          <w:rFonts w:ascii="Times New Roman" w:cs="Times New Roman" w:eastAsia="Times New Roman" w:hAnsi="Times New Roman"/>
          <w:sz w:val="18"/>
          <w:szCs w:val="18"/>
          <w:color w:val="auto"/>
        </w:rPr>
        <w:t>Increased blood-based intratumor heterogeneity (bITH) is associated with unfavorable outcomes of immune checkpoint inhibitors plus chemotherapy in non-small cell lung cancer</w:t>
      </w:r>
    </w:p>
    <w:p>
      <w:pPr>
        <w:spacing w:after="0" w:line="81" w:lineRule="exact"/>
        <w:rPr>
          <w:sz w:val="20"/>
          <w:szCs w:val="20"/>
          <w:color w:val="auto"/>
        </w:rPr>
      </w:pPr>
    </w:p>
    <w:p>
      <w:pPr>
        <w:sectPr>
          <w:pgSz w:w="11900" w:h="16838" w:orient="portrait"/>
          <w:cols w:equalWidth="0" w:num="3">
            <w:col w:w="5320" w:space="720"/>
            <w:col w:w="2500" w:space="280"/>
            <w:col w:w="2320"/>
          </w:cols>
          <w:pgMar w:left="320" w:top="482" w:right="439" w:bottom="1440" w:gutter="0" w:footer="0" w:header="0"/>
          <w:type w:val="continuous"/>
        </w:sectPr>
      </w:pPr>
    </w:p>
    <w:p>
      <w:pPr>
        <w:ind w:left="120"/>
        <w:spacing w:after="0"/>
        <w:tabs>
          <w:tab w:leader="none" w:pos="3280" w:val="left"/>
        </w:tabs>
        <w:rPr>
          <w:sz w:val="20"/>
          <w:szCs w:val="20"/>
          <w:color w:val="auto"/>
        </w:rPr>
      </w:pPr>
      <w:r>
        <w:rPr>
          <w:rFonts w:ascii="Times New Roman" w:cs="Times New Roman" w:eastAsia="Times New Roman" w:hAnsi="Times New Roman"/>
          <w:sz w:val="18"/>
          <w:szCs w:val="18"/>
          <w:color w:val="auto"/>
        </w:rPr>
        <w:t>Jie Wang, head of department of medicine</w:t>
      </w:r>
      <w:r>
        <w:rPr>
          <w:sz w:val="20"/>
          <w:szCs w:val="20"/>
          <w:color w:val="auto"/>
        </w:rPr>
        <w:tab/>
      </w:r>
      <w:r>
        <w:rPr>
          <w:rFonts w:ascii="Times New Roman" w:cs="Times New Roman" w:eastAsia="Times New Roman" w:hAnsi="Times New Roman"/>
          <w:sz w:val="17"/>
          <w:szCs w:val="17"/>
          <w:color w:val="auto"/>
        </w:rPr>
        <w:t>Lancet Respiratory Medicine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Cancer Hospital of Chinese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Academy of Medical Sciences, vice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of CSCO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tabs>
          <w:tab w:leader="none" w:pos="3280" w:val="left"/>
        </w:tabs>
        <w:rPr>
          <w:sz w:val="20"/>
          <w:szCs w:val="20"/>
          <w:color w:val="auto"/>
        </w:rPr>
      </w:pPr>
      <w:r>
        <w:rPr>
          <w:rFonts w:ascii="Times New Roman" w:cs="Times New Roman" w:eastAsia="Times New Roman" w:hAnsi="Times New Roman"/>
          <w:sz w:val="18"/>
          <w:szCs w:val="18"/>
          <w:color w:val="auto"/>
        </w:rPr>
        <w:t>Qing Zhou, deputy head of the Lung</w:t>
      </w:r>
      <w:r>
        <w:rPr>
          <w:sz w:val="20"/>
          <w:szCs w:val="20"/>
          <w:color w:val="auto"/>
        </w:rPr>
        <w:tab/>
      </w:r>
      <w:r>
        <w:rPr>
          <w:rFonts w:ascii="Times New Roman" w:cs="Times New Roman" w:eastAsia="Times New Roman" w:hAnsi="Times New Roman"/>
          <w:sz w:val="18"/>
          <w:szCs w:val="18"/>
          <w:color w:val="auto"/>
        </w:rPr>
        <w:t>EBioMedicine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Institute of Guangdong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Provincial People’s Hospital, secretary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CTONG</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Detection of EGFR mutations in plasma circulating tumor DNA as a selection criterion for first-line Gefitinib treatment in patients with advanced lung adenocarcinoma (BENEFIT): a phase 2, single-arm, multicenter clinical trial</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Analysis of resistance mechanisms to Abivertinib, a third-generation EGFR tyrosine kinase inhibitor, in patients with EGFR T790M-positive non-small cell lung cancer from a phase I trial</w:t>
      </w:r>
    </w:p>
    <w:p>
      <w:pPr>
        <w:spacing w:after="0" w:line="20" w:lineRule="exact"/>
        <w:rPr>
          <w:sz w:val="20"/>
          <w:szCs w:val="20"/>
          <w:color w:val="auto"/>
        </w:rPr>
      </w:pPr>
      <w:r>
        <w:rPr>
          <w:sz w:val="20"/>
          <w:szCs w:val="20"/>
          <w:color w:val="auto"/>
        </w:rPr>
        <w:br w:type="column"/>
      </w:r>
    </w:p>
    <w:p>
      <w:pPr>
        <w:ind w:right="260"/>
        <w:spacing w:after="0" w:line="242" w:lineRule="auto"/>
        <w:rPr>
          <w:sz w:val="20"/>
          <w:szCs w:val="20"/>
          <w:color w:val="auto"/>
        </w:rPr>
      </w:pPr>
      <w:r>
        <w:rPr>
          <w:rFonts w:ascii="Times New Roman" w:cs="Times New Roman" w:eastAsia="Times New Roman" w:hAnsi="Times New Roman"/>
          <w:sz w:val="17"/>
          <w:szCs w:val="17"/>
          <w:color w:val="auto"/>
        </w:rPr>
        <w:t>Our OncoCompass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Target was used for the NGS-based cancer therapy selection of plasma ctDNA in the study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OncoScreen was selected in the biomarker study</w:t>
      </w:r>
    </w:p>
    <w:p>
      <w:pPr>
        <w:spacing w:after="0" w:line="917" w:lineRule="exact"/>
        <w:rPr>
          <w:sz w:val="20"/>
          <w:szCs w:val="20"/>
          <w:color w:val="auto"/>
        </w:rPr>
      </w:pPr>
    </w:p>
    <w:p>
      <w:pPr>
        <w:sectPr>
          <w:pgSz w:w="11900" w:h="16838" w:orient="portrait"/>
          <w:cols w:equalWidth="0" w:num="3">
            <w:col w:w="5400" w:space="640"/>
            <w:col w:w="2560" w:space="220"/>
            <w:col w:w="2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Ying Yuan, deputy head of department of</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Journal of Molecular Diagnostics</w:t>
            </w: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novel and reliable method to</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medicine of the Second Affiliated</w:t>
            </w:r>
          </w:p>
        </w:tc>
        <w:tc>
          <w:tcPr>
            <w:tcW w:w="26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detect microsatellite instability in</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Hospital of Zhejiang University School of</w:t>
            </w:r>
          </w:p>
        </w:tc>
        <w:tc>
          <w:tcPr>
            <w:tcW w:w="26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colorectal cancer by next-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Medicine, member and secretary of the</w:t>
            </w:r>
          </w:p>
        </w:tc>
        <w:tc>
          <w:tcPr>
            <w:tcW w:w="26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generation sequencing</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Committee of Colorectal Cancer of China</w:t>
            </w:r>
          </w:p>
        </w:tc>
        <w:tc>
          <w:tcPr>
            <w:tcW w:w="26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Anti-Cancer Association</w:t>
            </w:r>
          </w:p>
        </w:tc>
        <w:tc>
          <w:tcPr>
            <w:tcW w:w="26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Naixin Liang, oncologist residing in</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Nature Biomedical Engineering</w:t>
            </w: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Ultrasensitive detection of</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Peking Union Medical College Hospital,</w:t>
            </w:r>
          </w:p>
        </w:tc>
        <w:tc>
          <w:tcPr>
            <w:tcW w:w="26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circulating tumour DNA via deep</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Peking Union Medical College and</w:t>
            </w:r>
          </w:p>
        </w:tc>
        <w:tc>
          <w:tcPr>
            <w:tcW w:w="26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methylation sequencing aided by</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Chinese Academy of Medical Sciences</w:t>
            </w:r>
          </w:p>
        </w:tc>
        <w:tc>
          <w:tcPr>
            <w:tcW w:w="266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machine learning</w:t>
            </w:r>
          </w:p>
        </w:tc>
      </w:tr>
      <w:tr>
        <w:trPr>
          <w:trHeight w:val="364"/>
        </w:trPr>
        <w:tc>
          <w:tcPr>
            <w:tcW w:w="3100" w:type="dxa"/>
            <w:vAlign w:val="bottom"/>
          </w:tcPr>
          <w:p>
            <w:pPr>
              <w:spacing w:after="0"/>
              <w:rPr>
                <w:sz w:val="24"/>
                <w:szCs w:val="24"/>
                <w:color w:val="auto"/>
              </w:rPr>
            </w:pPr>
          </w:p>
        </w:tc>
        <w:tc>
          <w:tcPr>
            <w:tcW w:w="2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2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380"/>
        <w:spacing w:after="0" w:line="261" w:lineRule="auto"/>
        <w:rPr>
          <w:sz w:val="20"/>
          <w:szCs w:val="20"/>
          <w:color w:val="auto"/>
        </w:rPr>
      </w:pPr>
      <w:r>
        <w:rPr>
          <w:rFonts w:ascii="Times New Roman" w:cs="Times New Roman" w:eastAsia="Times New Roman" w:hAnsi="Times New Roman"/>
          <w:sz w:val="18"/>
          <w:szCs w:val="18"/>
          <w:color w:val="auto"/>
        </w:rPr>
        <w:t>Our ColonCore and the corresponding MSI calling algorithm were used in the validation study</w:t>
      </w:r>
    </w:p>
    <w:p>
      <w:pPr>
        <w:spacing w:after="0" w:line="200" w:lineRule="exact"/>
        <w:rPr>
          <w:sz w:val="20"/>
          <w:szCs w:val="20"/>
          <w:color w:val="auto"/>
        </w:rPr>
      </w:pPr>
    </w:p>
    <w:p>
      <w:pPr>
        <w:spacing w:after="0" w:line="3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ELSA-seq was used for study of circulating tumor DNA methylation markers for the early detection of lung cancer</w:t>
      </w:r>
    </w:p>
    <w:p>
      <w:pPr>
        <w:sectPr>
          <w:pgSz w:w="11900" w:h="16838" w:orient="portrait"/>
          <w:cols w:equalWidth="0" w:num="2">
            <w:col w:w="8460" w:space="360"/>
            <w:col w:w="2320"/>
          </w:cols>
          <w:pgMar w:left="320" w:top="482" w:right="4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529"/>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CAPItello-291 study group</w:t>
            </w: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New England Journal of</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Medicine</w:t>
            </w:r>
          </w:p>
        </w:tc>
      </w:tr>
      <w:tr>
        <w:trPr>
          <w:trHeight w:val="306"/>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Hao Wen and Xiaohua Wu,</w:t>
            </w: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Advanced Science</w:t>
            </w:r>
          </w:p>
        </w:tc>
      </w:tr>
      <w:tr>
        <w:trPr>
          <w:trHeight w:val="216"/>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oncologistis at the department of</w:t>
            </w:r>
          </w:p>
        </w:tc>
        <w:tc>
          <w:tcPr>
            <w:tcW w:w="2300" w:type="dxa"/>
            <w:vAlign w:val="bottom"/>
          </w:tcPr>
          <w:p>
            <w:pPr>
              <w:spacing w:after="0"/>
              <w:rPr>
                <w:sz w:val="18"/>
                <w:szCs w:val="18"/>
                <w:color w:val="auto"/>
              </w:rPr>
            </w:pPr>
          </w:p>
        </w:tc>
      </w:tr>
      <w:tr>
        <w:trPr>
          <w:trHeight w:val="216"/>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gynecologic oncology of Fudan</w:t>
            </w:r>
          </w:p>
        </w:tc>
        <w:tc>
          <w:tcPr>
            <w:tcW w:w="2300" w:type="dxa"/>
            <w:vAlign w:val="bottom"/>
          </w:tcPr>
          <w:p>
            <w:pPr>
              <w:spacing w:after="0"/>
              <w:rPr>
                <w:sz w:val="18"/>
                <w:szCs w:val="18"/>
                <w:color w:val="auto"/>
              </w:rPr>
            </w:pPr>
          </w:p>
        </w:tc>
      </w:tr>
      <w:tr>
        <w:trPr>
          <w:trHeight w:val="234"/>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Shanghai Cancer Center</w:t>
            </w:r>
          </w:p>
        </w:tc>
        <w:tc>
          <w:tcPr>
            <w:tcW w:w="2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Capivasertib in hormone receptor-positive advanced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-862330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of liquid biopsy-based multi-omics biomarkers for early detection of gynecological malignancies: a prospective study (PERCEIVE-I)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OncoScreen Plus was used for biomarker analysis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methylation panel was investigated for its performance in detecting gynecologic cancers</w:t>
      </w:r>
    </w:p>
    <w:p>
      <w:pPr>
        <w:spacing w:after="0" w:line="499" w:lineRule="exact"/>
        <w:rPr>
          <w:sz w:val="20"/>
          <w:szCs w:val="20"/>
          <w:color w:val="auto"/>
        </w:rPr>
      </w:pPr>
    </w:p>
    <w:p>
      <w:pPr>
        <w:sectPr>
          <w:pgSz w:w="11900" w:h="16838" w:orient="portrait"/>
          <w:cols w:equalWidth="0" w:num="3">
            <w:col w:w="5200" w:space="660"/>
            <w:col w:w="2580" w:space="160"/>
            <w:col w:w="2520"/>
          </w:cols>
          <w:pgMar w:left="320" w:top="473" w:right="459" w:bottom="1440" w:gutter="0" w:footer="0" w:header="0"/>
        </w:sectPr>
      </w:pPr>
    </w:p>
    <w:p>
      <w:pPr>
        <w:ind w:left="120"/>
        <w:spacing w:after="0"/>
        <w:tabs>
          <w:tab w:leader="none" w:pos="3100" w:val="left"/>
        </w:tabs>
        <w:rPr>
          <w:sz w:val="20"/>
          <w:szCs w:val="20"/>
          <w:color w:val="auto"/>
        </w:rPr>
      </w:pPr>
      <w:r>
        <w:rPr>
          <w:rFonts w:ascii="Times New Roman" w:cs="Times New Roman" w:eastAsia="Times New Roman" w:hAnsi="Times New Roman"/>
          <w:sz w:val="18"/>
          <w:szCs w:val="18"/>
          <w:color w:val="auto"/>
        </w:rPr>
        <w:t>Kezhong Chen and Fan Yang,</w:t>
      </w:r>
      <w:r>
        <w:rPr>
          <w:sz w:val="20"/>
          <w:szCs w:val="20"/>
          <w:color w:val="auto"/>
        </w:rPr>
        <w:tab/>
      </w:r>
      <w:r>
        <w:rPr>
          <w:rFonts w:ascii="Times New Roman" w:cs="Times New Roman" w:eastAsia="Times New Roman" w:hAnsi="Times New Roman"/>
          <w:sz w:val="17"/>
          <w:szCs w:val="17"/>
          <w:color w:val="auto"/>
        </w:rPr>
        <w:t>eClinicalMedicine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oncologists at the Peking University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Peoole’s Hospital</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Development and validation of an Our methylation panel was integrated system for lung cancer investigated for its performance in</w:t>
      </w: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screening and post-screening</w:t>
      </w:r>
      <w:r>
        <w:rPr>
          <w:sz w:val="20"/>
          <w:szCs w:val="20"/>
          <w:color w:val="auto"/>
        </w:rPr>
        <w:tab/>
      </w:r>
      <w:r>
        <w:rPr>
          <w:rFonts w:ascii="Times New Roman" w:cs="Times New Roman" w:eastAsia="Times New Roman" w:hAnsi="Times New Roman"/>
          <w:sz w:val="17"/>
          <w:szCs w:val="17"/>
          <w:color w:val="auto"/>
        </w:rPr>
        <w:t>detecting lung cancer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pulmonary nodules management: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proof-of-concept study (ASCEND-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LUNG)</w:t>
      </w:r>
    </w:p>
    <w:p>
      <w:pPr>
        <w:spacing w:after="0" w:line="99" w:lineRule="exact"/>
        <w:rPr>
          <w:sz w:val="20"/>
          <w:szCs w:val="20"/>
          <w:color w:val="auto"/>
        </w:rPr>
      </w:pPr>
    </w:p>
    <w:p>
      <w:pPr>
        <w:sectPr>
          <w:pgSz w:w="11900" w:h="16838" w:orient="portrait"/>
          <w:cols w:equalWidth="0" w:num="2">
            <w:col w:w="5140" w:space="720"/>
            <w:col w:w="5260"/>
          </w:cols>
          <w:pgMar w:left="320" w:top="473" w:right="459" w:bottom="1440" w:gutter="0" w:footer="0" w:header="0"/>
          <w:type w:val="continuous"/>
        </w:sectPr>
      </w:pPr>
    </w:p>
    <w:p>
      <w:pPr>
        <w:ind w:left="120"/>
        <w:spacing w:after="0"/>
        <w:tabs>
          <w:tab w:leader="none" w:pos="3100" w:val="left"/>
        </w:tabs>
        <w:rPr>
          <w:sz w:val="20"/>
          <w:szCs w:val="20"/>
          <w:color w:val="auto"/>
        </w:rPr>
      </w:pPr>
      <w:r>
        <w:rPr>
          <w:rFonts w:ascii="Times New Roman" w:cs="Times New Roman" w:eastAsia="Times New Roman" w:hAnsi="Times New Roman"/>
          <w:sz w:val="18"/>
          <w:szCs w:val="18"/>
          <w:color w:val="auto"/>
        </w:rPr>
        <w:t>SEQC2 Oncopanel Sequencing</w:t>
      </w:r>
      <w:r>
        <w:rPr>
          <w:sz w:val="20"/>
          <w:szCs w:val="20"/>
          <w:color w:val="auto"/>
        </w:rPr>
        <w:tab/>
      </w:r>
      <w:r>
        <w:rPr>
          <w:rFonts w:ascii="Times New Roman" w:cs="Times New Roman" w:eastAsia="Times New Roman" w:hAnsi="Times New Roman"/>
          <w:sz w:val="17"/>
          <w:szCs w:val="17"/>
          <w:color w:val="auto"/>
        </w:rPr>
        <w:t>Nature bioechnology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working group</w:t>
      </w:r>
    </w:p>
    <w:p>
      <w:pPr>
        <w:spacing w:after="0" w:line="315" w:lineRule="exact"/>
        <w:rPr>
          <w:sz w:val="20"/>
          <w:szCs w:val="20"/>
          <w:color w:val="auto"/>
        </w:rPr>
      </w:pPr>
    </w:p>
    <w:p>
      <w:pPr>
        <w:ind w:left="120"/>
        <w:spacing w:after="0"/>
        <w:tabs>
          <w:tab w:leader="none" w:pos="3100" w:val="left"/>
        </w:tabs>
        <w:rPr>
          <w:sz w:val="20"/>
          <w:szCs w:val="20"/>
          <w:color w:val="auto"/>
        </w:rPr>
      </w:pPr>
      <w:r>
        <w:rPr>
          <w:rFonts w:ascii="Times New Roman" w:cs="Times New Roman" w:eastAsia="Times New Roman" w:hAnsi="Times New Roman"/>
          <w:sz w:val="18"/>
          <w:szCs w:val="18"/>
          <w:color w:val="auto"/>
        </w:rPr>
        <w:t>Jie Wang, head of department of</w:t>
      </w:r>
      <w:r>
        <w:rPr>
          <w:sz w:val="20"/>
          <w:szCs w:val="20"/>
          <w:color w:val="auto"/>
        </w:rPr>
        <w:tab/>
      </w:r>
      <w:r>
        <w:rPr>
          <w:rFonts w:ascii="Times New Roman" w:cs="Times New Roman" w:eastAsia="Times New Roman" w:hAnsi="Times New Roman"/>
          <w:sz w:val="17"/>
          <w:szCs w:val="17"/>
          <w:color w:val="auto"/>
        </w:rPr>
        <w:t>The Innovation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medicine in the Cancer Hospital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Chinese Academy of Medical Sciences,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vice president of CSCO</w:t>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Times New Roman" w:cs="Times New Roman" w:eastAsia="Times New Roman" w:hAnsi="Times New Roman"/>
          <w:sz w:val="17"/>
          <w:szCs w:val="17"/>
          <w:color w:val="auto"/>
        </w:rPr>
        <w:t>Evaluating the analytical validity of circulating tumor DNA sequencing assays for precision oncology</w:t>
      </w:r>
    </w:p>
    <w:p>
      <w:pPr>
        <w:spacing w:after="0" w:line="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Exploration of multi-omics liquid biopsy approaches for multi-cancer early detection: The PROMISE study</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7"/>
          <w:szCs w:val="17"/>
          <w:color w:val="auto"/>
        </w:rPr>
        <w:t>Our OncoCompass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demonstrated superior performance in this blinded comparative study</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methylation panel was investigated for its performance in detecting nine cancer types</w:t>
      </w:r>
    </w:p>
    <w:p>
      <w:pPr>
        <w:spacing w:after="0" w:line="284" w:lineRule="exact"/>
        <w:rPr>
          <w:sz w:val="20"/>
          <w:szCs w:val="20"/>
          <w:color w:val="auto"/>
        </w:rPr>
      </w:pPr>
    </w:p>
    <w:p>
      <w:pPr>
        <w:sectPr>
          <w:pgSz w:w="11900" w:h="16838" w:orient="portrait"/>
          <w:cols w:equalWidth="0" w:num="3">
            <w:col w:w="5140" w:space="720"/>
            <w:col w:w="2580" w:space="160"/>
            <w:col w:w="2520"/>
          </w:cols>
          <w:pgMar w:left="320" w:top="473" w:right="459" w:bottom="1440" w:gutter="0" w:footer="0" w:header="0"/>
          <w:type w:val="continuous"/>
        </w:sectPr>
      </w:pPr>
    </w:p>
    <w:p>
      <w:pPr>
        <w:ind w:left="120"/>
        <w:spacing w:after="0"/>
        <w:tabs>
          <w:tab w:leader="none" w:pos="3100" w:val="left"/>
        </w:tabs>
        <w:rPr>
          <w:sz w:val="20"/>
          <w:szCs w:val="20"/>
          <w:color w:val="auto"/>
        </w:rPr>
      </w:pPr>
      <w:r>
        <w:rPr>
          <w:rFonts w:ascii="Times New Roman" w:cs="Times New Roman" w:eastAsia="Times New Roman" w:hAnsi="Times New Roman"/>
          <w:sz w:val="18"/>
          <w:szCs w:val="18"/>
          <w:color w:val="auto"/>
        </w:rPr>
        <w:t>Kezhong Chen and Fan Yang,</w:t>
      </w:r>
      <w:r>
        <w:rPr>
          <w:sz w:val="20"/>
          <w:szCs w:val="20"/>
          <w:color w:val="auto"/>
        </w:rPr>
        <w:tab/>
      </w:r>
      <w:r>
        <w:rPr>
          <w:rFonts w:ascii="Times New Roman" w:cs="Times New Roman" w:eastAsia="Times New Roman" w:hAnsi="Times New Roman"/>
          <w:sz w:val="17"/>
          <w:szCs w:val="17"/>
          <w:color w:val="auto"/>
        </w:rPr>
        <w:t>Cancer Cell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oncologists at the Peking University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Peoole’s Hospital</w:t>
      </w:r>
    </w:p>
    <w:p>
      <w:pPr>
        <w:spacing w:after="0" w:line="20" w:lineRule="exact"/>
        <w:rPr>
          <w:sz w:val="20"/>
          <w:szCs w:val="20"/>
          <w:color w:val="auto"/>
        </w:rPr>
      </w:pPr>
      <w:r>
        <w:rPr>
          <w:sz w:val="20"/>
          <w:szCs w:val="20"/>
          <w:color w:val="auto"/>
        </w:rPr>
        <w:br w:type="column"/>
      </w: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Individualized tumor-informed</w:t>
      </w:r>
      <w:r>
        <w:rPr>
          <w:sz w:val="20"/>
          <w:szCs w:val="20"/>
          <w:color w:val="auto"/>
        </w:rPr>
        <w:tab/>
      </w:r>
      <w:r>
        <w:rPr>
          <w:rFonts w:ascii="Times New Roman" w:cs="Times New Roman" w:eastAsia="Times New Roman" w:hAnsi="Times New Roman"/>
          <w:sz w:val="17"/>
          <w:szCs w:val="17"/>
          <w:color w:val="auto"/>
        </w:rPr>
        <w:t>Our CanCatch custom (a tumor-</w:t>
      </w:r>
    </w:p>
    <w:p>
      <w:pPr>
        <w:spacing w:after="0" w:line="2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circulating tumor DNA analysis for</w:t>
        <w:tab/>
        <w:t>informed personalized panel to</w:t>
      </w:r>
    </w:p>
    <w:p>
      <w:pPr>
        <w:spacing w:after="0" w:line="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postoperative monitoring of</w:t>
      </w:r>
      <w:r>
        <w:rPr>
          <w:sz w:val="20"/>
          <w:szCs w:val="20"/>
          <w:color w:val="auto"/>
        </w:rPr>
        <w:tab/>
      </w:r>
      <w:r>
        <w:rPr>
          <w:rFonts w:ascii="Times New Roman" w:cs="Times New Roman" w:eastAsia="Times New Roman" w:hAnsi="Times New Roman"/>
          <w:sz w:val="18"/>
          <w:szCs w:val="18"/>
          <w:color w:val="auto"/>
        </w:rPr>
        <w:t>detect molecular residual disease)</w:t>
      </w:r>
    </w:p>
    <w:p>
      <w:pPr>
        <w:spacing w:after="0" w:line="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non-small</w:t>
      </w:r>
      <w:r>
        <w:rPr>
          <w:sz w:val="20"/>
          <w:szCs w:val="20"/>
          <w:color w:val="auto"/>
        </w:rPr>
        <w:tab/>
      </w:r>
      <w:r>
        <w:rPr>
          <w:rFonts w:ascii="Times New Roman" w:cs="Times New Roman" w:eastAsia="Times New Roman" w:hAnsi="Times New Roman"/>
          <w:sz w:val="18"/>
          <w:szCs w:val="18"/>
          <w:color w:val="auto"/>
        </w:rPr>
        <w:t>demonstrated the feasibility to</w:t>
      </w:r>
    </w:p>
    <w:p>
      <w:pPr>
        <w:spacing w:after="0" w:line="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cell lung cancer</w:t>
      </w:r>
      <w:r>
        <w:rPr>
          <w:sz w:val="20"/>
          <w:szCs w:val="20"/>
          <w:color w:val="auto"/>
        </w:rPr>
        <w:tab/>
      </w:r>
      <w:r>
        <w:rPr>
          <w:rFonts w:ascii="Times New Roman" w:cs="Times New Roman" w:eastAsia="Times New Roman" w:hAnsi="Times New Roman"/>
          <w:sz w:val="18"/>
          <w:szCs w:val="18"/>
          <w:color w:val="auto"/>
        </w:rPr>
        <w:t>pedict and monitor recurrence in</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non-small cell lung cancer</w:t>
      </w:r>
    </w:p>
    <w:p>
      <w:pPr>
        <w:spacing w:after="0" w:line="99" w:lineRule="exact"/>
        <w:rPr>
          <w:sz w:val="20"/>
          <w:szCs w:val="20"/>
          <w:color w:val="auto"/>
        </w:rPr>
      </w:pPr>
    </w:p>
    <w:p>
      <w:pPr>
        <w:sectPr>
          <w:pgSz w:w="11900" w:h="16838" w:orient="portrait"/>
          <w:cols w:equalWidth="0" w:num="2">
            <w:col w:w="5140" w:space="720"/>
            <w:col w:w="5260"/>
          </w:cols>
          <w:pgMar w:left="320" w:top="473" w:right="459" w:bottom="1440" w:gutter="0" w:footer="0" w:header="0"/>
          <w:type w:val="continuous"/>
        </w:sect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Zhigang Li, oncologist at the Shanghai Cell Reports Medicine Chest Hospital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tabs>
          <w:tab w:leader="none" w:pos="3100" w:val="left"/>
        </w:tabs>
        <w:rPr>
          <w:sz w:val="20"/>
          <w:szCs w:val="20"/>
          <w:color w:val="auto"/>
        </w:rPr>
      </w:pPr>
      <w:r>
        <w:rPr>
          <w:rFonts w:ascii="Times New Roman" w:cs="Times New Roman" w:eastAsia="Times New Roman" w:hAnsi="Times New Roman"/>
          <w:sz w:val="18"/>
          <w:szCs w:val="18"/>
          <w:color w:val="auto"/>
        </w:rPr>
        <w:t>Gong Chen, oncologist at the</w:t>
      </w:r>
      <w:r>
        <w:rPr>
          <w:sz w:val="20"/>
          <w:szCs w:val="20"/>
          <w:color w:val="auto"/>
        </w:rPr>
        <w:tab/>
      </w:r>
      <w:r>
        <w:rPr>
          <w:rFonts w:ascii="Times New Roman" w:cs="Times New Roman" w:eastAsia="Times New Roman" w:hAnsi="Times New Roman"/>
          <w:sz w:val="17"/>
          <w:szCs w:val="17"/>
          <w:color w:val="auto"/>
        </w:rPr>
        <w:t>Annals of Surgery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Guangdong Provincial Clinical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Center for Cancer</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ctDNA detects residual disease after neoadjuvant chemoradiotherapy and guides adjuvant therapy for esophageal squamous cell carcinoma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Association of recurrence with a tumor-informed personalized ctDNA detection approach in resectable colorectal cancer: results of a prospective observational Study</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Times New Roman" w:cs="Times New Roman" w:eastAsia="Times New Roman" w:hAnsi="Times New Roman"/>
          <w:sz w:val="18"/>
          <w:szCs w:val="18"/>
          <w:color w:val="auto"/>
        </w:rPr>
        <w:t>Our CanCatch custom (a tumor-informed personalized panel to detect molecular residual disease) demonstrated the feasibility to detect residual disease in esophageal squamous cell carcinoma after neoadjuvant chemotherapy</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CanCatch custom (a tumor-informed personalized panel to detect molecular residual disease) demonstrated the feasibility to pedict and monitor recurrence in colorectal cancer</w:t>
      </w:r>
    </w:p>
    <w:p>
      <w:pPr>
        <w:spacing w:after="0" w:line="200" w:lineRule="exact"/>
        <w:rPr>
          <w:sz w:val="20"/>
          <w:szCs w:val="20"/>
          <w:color w:val="auto"/>
        </w:rPr>
      </w:pPr>
    </w:p>
    <w:p>
      <w:pPr>
        <w:sectPr>
          <w:pgSz w:w="11900" w:h="16838" w:orient="portrait"/>
          <w:cols w:equalWidth="0" w:num="3">
            <w:col w:w="5140" w:space="720"/>
            <w:col w:w="2640" w:space="100"/>
            <w:col w:w="2520"/>
          </w:cols>
          <w:pgMar w:left="320" w:top="473" w:right="45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Collaborations with Pharmaceutical Companies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collaborate with leading international and domestic pharmaceutical companies on clinical trials and research studies, primarily by providing central laboratory services and companion diagnostics development services. Our NGS-based cancer therapy selection tests are also regularly used by leading pharmaceutical companies, such as AstraZeneca, Bayer, Johnson &amp; Johnson, CStone, Abbisko Therapeutics, Boehringer Ingelheim, and Merck, in their clinical studies and clinical trials or as CDx development for their respective drug candidates. These services enable pharmaceutical companies to identify molecularly defined patient populations enrolled in specific clinical trials or to better understand how targeted oncology therapy and immunotherapy drug candidates are working on patients, which in turn guides their drug development process. In order to form collaborations with pharmaceutical companies, we must go through their rigorous quality assurance audits and technical validations to demonstrate that the design, specification and performance of our tests as well as our testing workflow meet their quality and technical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73" w:right="4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pioneered a two-pronged commercial infrastructure, consisting of both central and in-hospital laboratories, to maximize market penetration and create higher barriers to entry:</w:t>
      </w:r>
    </w:p>
    <w:p>
      <w:pPr>
        <w:spacing w:after="0" w:line="63" w:lineRule="exact"/>
        <w:rPr>
          <w:sz w:val="20"/>
          <w:szCs w:val="20"/>
          <w:color w:val="auto"/>
        </w:rPr>
      </w:pPr>
    </w:p>
    <w:p>
      <w:pPr>
        <w:ind w:left="1080" w:right="80" w:hanging="424"/>
        <w:spacing w:after="0" w:line="259"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model</w:t>
      </w:r>
      <w:r>
        <w:rPr>
          <w:rFonts w:ascii="Times New Roman" w:cs="Times New Roman" w:eastAsia="Times New Roman" w:hAnsi="Times New Roman"/>
          <w:sz w:val="18"/>
          <w:szCs w:val="18"/>
          <w:color w:val="auto"/>
        </w:rPr>
        <w:t>. Since 2014, we have offered our cancer therapy selection tests under a central laboratory model.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cancer patients’ tissue and liquid biopsy samples are delivered to our central laboratory in Guangzhou for processing, and we issue test reports generally within six days from our receipt of the tissue and liquid biopsy samples, 25 days for samples for our MRD products and nine days for samples for our early detection products. Our central laboratory also supports our collaborations with pharmaceutical companies; and</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In-hospital model. </w:t>
      </w:r>
      <w:r>
        <w:rPr>
          <w:rFonts w:ascii="Times New Roman" w:cs="Times New Roman" w:eastAsia="Times New Roman" w:hAnsi="Times New Roman"/>
          <w:sz w:val="18"/>
          <w:szCs w:val="18"/>
          <w:color w:val="auto"/>
        </w:rPr>
        <w:t>In China, cancer patients typically go to top oncology hospitals for cancer treatment. These hospitals generally prefer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 laboratory tests in-house. Although the complexities of NGS-based cancer therapy selection have so far limited the number of hospitals to have their own laboratory facilities for these tests, we believe that the in-hospital segment presents enormous market opportunities and will become an increasingly important segment of China’s cancer genotyping market. Given this opportunity, in 2016, we began offering turn-key solutions under our in-hospital model, enabling our partner hospitals that use our reagent kits to perform testing on their own in a standardized manner with our ongoing training and support.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Central Laboratory Model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began offering NGS-based cancer therapy selection services under a central laboratory model in 2014, and we have become the market leader in the central laboratory segment of China’s NGS-based cancer therapy selection market. Under our central laboratory model, cancer patients’ treating physicians order our cancer therapy selection tests for their patients during the diagnostic process, have the patients’ liquid biopsy or tissue samples shipped to our central laboratory in Guangzhou for testing, and design treatment plans based on our test results. Our test reports communicate the actionable genomic alterations in a patient’s cancer and match those alterations with potentially relevant treatment options, including targeted therapies and immunotherapies, according to predicted efficacy or resistance. Patients pay us for these tests with out-of-pocket payments.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established a dedicated sales and marketing team that focuses on expanding our brand awareness and growing our coverage of hospitals and physicians across China. Our marketing efforts for our central laboratory model include educating hospitals and physicians on the benefits of our tests and the clinical data supporting our test results. We also work with medical professional societies to promote the awareness of the clinical benefits of our tests and NGS-based cancer therapy selection in general, and we sponsor or present at medical, scientific or industry exhibitions and conferences and pursue or support scientific studies of our tests and the publication of results in academic journals.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In-hospital Model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Despite the large and growing demand, Chinese hospitals face multiple challenges in adopting NGS-based cancer therapy selection testing in house, which has technically sophisticated workflows such as library preparation and complex data analysis and interpretation. As a result, these hospitals are in urgent need of high-performing and greatly standardized technologies and products that adhere to their rigorous quality requirements and operating protocols. Strategically focusing on the in-hospital segment of China’s cancer genotyping industry since our inception, in 2016 we became the first company in China to offer Chinese hospitals a turn-key solution and ongoing support that effectively addresses their challenges in adopting NGS-based cancer therapy selection.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flow chart below sets forth the key steps of our in-hospital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589270" cy="977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927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8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Typically include tests conducted by the hospitals to compare our tests against conventional cancer therapy selection methods, as well as against those offered by other NGS-based cancer therapy selection companies.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 form collaborations with partner hospitals, we must complete each partner hospitals’ rigorous onboarding process, including (i) benchmarking tests conducted by the hospitals, including comparisons of our tests against conventional cancer therapy selection methods such as PCR and FISH, as well as against those offered by other NGS-based cancer therapy selection companies, and (ii) other comprehensive assessments to evaluate our technical and service capabilities. Throughout this process, our dedicated in-hospital model sales and technical support teams, working closely with our research and development, medical support and other teams, collaborate with our partner hospitals to redesign their in-hospital laboratories, complete tender processes, source laboratory equipment and supplies, install laboratory systems and customize the hospitals’ testing workflow, data analysis and report generation—all while ensuring compliance with the hospitals’ rigorous quality and operating protocols.</w:t>
      </w:r>
    </w:p>
    <w:p>
      <w:pPr>
        <w:spacing w:after="0" w:line="189"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Once an in-hospital laboratory is in operation, the partner hospital purchases our products to perform NGS-based cancer therapy selection on a recurring basis. We are dedicated to continuously optimizing the operations of these in-hospital laboratories and maintaining our relationships with our partner hospitals. We frequently conduct onsite visits and provide remote technical support, such as data analytics support, to ensure optimal laboratory performance. In September 2019, we launched our fully automated NGS library preparation system, Magnis BR, and associated library preparation reagents, which we co-developed with Agilent. Magnis BR and its associated reagents are particularly suitable for Chinese hospitals because they fully automate the NGS library preparation process and convert DNA samples into sequencing-ready libraries in around nine hours, which help partner hospitals streamline their testing workflow, reduce manual labor and minimize risks. In 2022, our Magnis BR received clearance as a Class II medical device for IVD use in China. As of the date of this annual report, 20 hospitals in China had adopted Magnis BR to process associated reagents.</w:t>
      </w:r>
    </w:p>
    <w:p>
      <w:pPr>
        <w:spacing w:after="0" w:line="17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Through our strategic focus—supported by our high-quality products and industry-leading technological capabilities—we have become the market leader in the in-hospital segment of China’s NGS-based cancer therapy selection market. Our in-hospital model represents a stable and growing revenue stream that consists of fees from initial facilitation of the hospitals’ laboratory equipment purchases followed by recurring sales of our products.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have partnered with 94 hospitals in 43 cities across China, to establish in-hospital laboratories. The table below sets forth the cumulative numbers of our partner hospitals as of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740" w:type="dxa"/>
            <w:vAlign w:val="bottom"/>
          </w:tcPr>
          <w:p>
            <w:pPr>
              <w:spacing w:after="0"/>
              <w:rPr>
                <w:sz w:val="15"/>
                <w:szCs w:val="15"/>
                <w:color w:val="auto"/>
              </w:rPr>
            </w:pPr>
          </w:p>
        </w:tc>
        <w:tc>
          <w:tcPr>
            <w:tcW w:w="1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7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CCEEFF"/>
            </w:tcBorders>
          </w:tcPr>
          <w:p>
            <w:pPr>
              <w:spacing w:after="0"/>
              <w:rPr>
                <w:sz w:val="12"/>
                <w:szCs w:val="12"/>
                <w:color w:val="auto"/>
              </w:rPr>
            </w:pPr>
          </w:p>
        </w:tc>
      </w:tr>
      <w:tr>
        <w:trPr>
          <w:trHeight w:val="210"/>
        </w:trPr>
        <w:tc>
          <w:tcPr>
            <w:tcW w:w="97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Pipeline partner hospitals</w:t>
            </w:r>
            <w:r>
              <w:rPr>
                <w:rFonts w:ascii="Times New Roman" w:cs="Times New Roman" w:eastAsia="Times New Roman" w:hAnsi="Times New Roman"/>
                <w:sz w:val="24"/>
                <w:szCs w:val="24"/>
                <w:color w:val="auto"/>
                <w:vertAlign w:val="superscript"/>
              </w:rPr>
              <w:t>(1)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Contracted partner hospitals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partner hospitals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80" w:hanging="424"/>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hospitals that have established in-hospital laboratories, completed laboratory equipment installation and commenced pilot testing using our products. It generally takes 12 to 30 months for hospitals to progress from pipeline partner hospitals to contracted partner hospitals, which generate recurring revenue from the sale of reagent kits.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primarily perform cancer therapy selection using both tissue and liquid biopsy tests under the central laboratory model in our NCCL- and CLIA-certified, CAP- and ISO 15189-accredited central laboratory in Guangzhou. Our central laboratory currently has a designed annual capacity of approximately 100,000 tests. We have achieved a turnaround time of approximately six days for regular oncology products, approximately twenty-five days for MRD products and approximately nine days for early detection products. Our test reports contain comprehensive information about the detected actionable genomic alterations and recommend targeted therapies and immunotherapies for each genomic alteration, according to predicted efficacy and resistance.</w:t>
      </w:r>
    </w:p>
    <w:p>
      <w:pPr>
        <w:spacing w:after="0" w:line="187" w:lineRule="exact"/>
        <w:rPr>
          <w:sz w:val="20"/>
          <w:szCs w:val="20"/>
          <w:color w:val="auto"/>
        </w:rPr>
      </w:pPr>
    </w:p>
    <w:p>
      <w:pPr>
        <w:ind w:left="120" w:right="40" w:firstLine="440"/>
        <w:spacing w:after="0" w:line="230" w:lineRule="auto"/>
        <w:rPr>
          <w:sz w:val="20"/>
          <w:szCs w:val="20"/>
          <w:color w:val="auto"/>
        </w:rPr>
      </w:pPr>
      <w:r>
        <w:rPr>
          <w:rFonts w:ascii="Times New Roman" w:cs="Times New Roman" w:eastAsia="Times New Roman" w:hAnsi="Times New Roman"/>
          <w:sz w:val="18"/>
          <w:szCs w:val="18"/>
          <w:color w:val="auto"/>
        </w:rPr>
        <w:t>We have applied good clinical practices, or GCP, to the operations of our central laboratory. Our GCP system consists of a quality control, or QC, system, a quality assurance, or QA, system and a corrective and preventive action, or CAPA, management system. We have incorporated these comprehensive quality control measures in all stages of our testing process to ensure the high-quality, consistency, and timeliness of our testing results. We have also participated in various proficiency tests and external quality assessments for the testing services we offer, including, among others, ctDNA testing, NGS solid tumor testing, and BRCA testing and interpretation. Our industry-leading technological capabilities and QC system have resulted in our operational excellence. For example, the testing success rate of our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is more than 99% (represents the proportion of clinical samples tested by OncoCompass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Target that passed our quality control standards—including cfDNA extraction amount, pre-library quality, library quality and sequencing data quality—and therefore test reports were successfully generated), which we believe is on par with world-class genomic testing companies.</w:t>
      </w:r>
    </w:p>
    <w:p>
      <w:pPr>
        <w:spacing w:after="0" w:line="19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GMP-standard manufacturing facilities in Guangzhou for the manufacturing of our reagent kits, with an aggregate designed annual production capacity of up to 600,000 kits. We have adopted various QC measures to ensure that we comply with all applicable regulations, standards and internal policies during the manufacturing process. Our manufacturing facilities successfully obtained ISO13485 certification, which was last renewed in October 2024. This certification is valid for three years. This ISO standard demonstrates that we have a comprehensive quality management system for the design and manufacture of medical devices.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typically source sequencers, reagents and certain other laboratory supplies used in our laboratory operations from trading companies that procure laboratory supplies from a variety of manufacturers. We generally enter into short-term supply agreements with our suppliers on an as-needed basis, each specifying the quantity, quality, warranty, delivery and payment terms and other customary terms for the respective batch of laboratory equipment and supply we purchase. Our suppliers generally grant us a credit term of 30 to 90 days, and are responsible for the repair and maintenance of the laboratory equipment and supplies they supply.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research and development efforts are primarily focused on the following areas:</w:t>
      </w:r>
    </w:p>
    <w:p>
      <w:pPr>
        <w:spacing w:after="0" w:line="11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Development of, and improvement on, NGS-based cancer therapy selection products</w:t>
      </w:r>
      <w:r>
        <w:rPr>
          <w:rFonts w:ascii="Times New Roman" w:cs="Times New Roman" w:eastAsia="Times New Roman" w:hAnsi="Times New Roman"/>
          <w:sz w:val="18"/>
          <w:szCs w:val="18"/>
          <w:color w:val="auto"/>
        </w:rPr>
        <w:t>. Based on clinical market demand and scientific progress,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design a series of different panels to meet different clinical needs. In particular, we are continuously working on designing products that require lower sample input and have higher library conversion rate and shorter hands-on time. We are also working to increase the automation of NGS-based cancer therapy selection products to alleviate manual workload and improve therapy selection precision. Our bioinformatics team will continue improving our data analysis algorithms and developing our analysis pipeline. Our validation team is working on thoroughly evaluating the sensitivity, specificity, reproducibility and accuracy of each product before launch. We are currently working on an improved hyb-capture based workflow to enable fast turn-around-time from sample to answer within 24 hours. Bioinformatic-wise, we are currently developing a new algorithm that enables tumor-only somatic variant calling and tumor fraction estimation in both tissue and liquid biopsy. The tumor fraction and ploidy estimation based on genome-wide SNP calling can greatly improve the gene copy number alteration detection, especially on copy number deletion and partial gene loss, i.e., large genomic rearrangement (LGR).</w:t>
      </w:r>
    </w:p>
    <w:p>
      <w:pPr>
        <w:sectPr>
          <w:pgSz w:w="11900" w:h="16838" w:orient="portrait"/>
          <w:cols w:equalWidth="0" w:num="1">
            <w:col w:w="11140"/>
          </w:cols>
          <w:pgMar w:left="320" w:top="482" w:right="439" w:bottom="1440" w:gutter="0" w:footer="0" w:header="0"/>
        </w:sectPr>
      </w:pP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Development of more reagent kits for NMPA approval</w:t>
      </w:r>
      <w:r>
        <w:rPr>
          <w:rFonts w:ascii="Times New Roman" w:cs="Times New Roman" w:eastAsia="Times New Roman" w:hAnsi="Times New Roman"/>
          <w:sz w:val="18"/>
          <w:szCs w:val="18"/>
          <w:color w:val="auto"/>
        </w:rPr>
        <w:t>. We are developing a number of products targeting different cancers for the NMPA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For each product, we will implement strict design control process, perform analytical validation, and conform the manufacturing to GMP and ISO13485 standards. We are also developing the corresponding software solutions for these products. The new algorithm under development is being used in the development process of these CDx products.</w:t>
      </w:r>
    </w:p>
    <w:p>
      <w:pPr>
        <w:spacing w:after="0" w:line="176" w:lineRule="exact"/>
        <w:rPr>
          <w:sz w:val="20"/>
          <w:szCs w:val="20"/>
          <w:color w:val="auto"/>
        </w:rPr>
      </w:pPr>
    </w:p>
    <w:p>
      <w:pPr>
        <w:ind w:left="120" w:right="140" w:firstLine="44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Development and validation of MRD detection products</w:t>
      </w:r>
      <w:r>
        <w:rPr>
          <w:rFonts w:ascii="Times New Roman" w:cs="Times New Roman" w:eastAsia="Times New Roman" w:hAnsi="Times New Roman"/>
          <w:sz w:val="18"/>
          <w:szCs w:val="18"/>
          <w:color w:val="auto"/>
        </w:rPr>
        <w:t>. Building upon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Personalized MRD, we are continuously conducting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analytical and clinical validation studies on our UMI-based liquid biopsy products for their sensitivity and utility for MRD detection, which could demonstrate clinical benefits for early-stage patients by predicting their risk of recurrence after treatment. We are also actively developing methylation based tumor agnostic MRD and therapy response products.</w:t>
      </w:r>
    </w:p>
    <w:p>
      <w:pPr>
        <w:spacing w:after="0" w:line="195" w:lineRule="exact"/>
        <w:rPr>
          <w:sz w:val="20"/>
          <w:szCs w:val="20"/>
          <w:color w:val="auto"/>
        </w:rPr>
      </w:pPr>
    </w:p>
    <w:p>
      <w:pPr>
        <w:ind w:left="120" w:right="20" w:firstLine="440"/>
        <w:spacing w:after="0" w:line="210" w:lineRule="auto"/>
        <w:rPr>
          <w:sz w:val="20"/>
          <w:szCs w:val="20"/>
          <w:color w:val="auto"/>
        </w:rPr>
      </w:pPr>
      <w:r>
        <w:rPr>
          <w:rFonts w:ascii="Times New Roman" w:cs="Times New Roman" w:eastAsia="Times New Roman" w:hAnsi="Times New Roman"/>
          <w:sz w:val="18"/>
          <w:szCs w:val="18"/>
          <w:b w:val="1"/>
          <w:bCs w:val="1"/>
          <w:i w:val="1"/>
          <w:iCs w:val="1"/>
          <w:color w:val="auto"/>
        </w:rPr>
        <w:t>Development of early cancer detection technologies and products</w:t>
      </w:r>
      <w:r>
        <w:rPr>
          <w:rFonts w:ascii="Times New Roman" w:cs="Times New Roman" w:eastAsia="Times New Roman" w:hAnsi="Times New Roman"/>
          <w:sz w:val="18"/>
          <w:szCs w:val="18"/>
          <w:color w:val="auto"/>
        </w:rPr>
        <w:t>. Building upon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targeted DNA methylation-based library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preparation method, and brMERMAID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machine learning algorithm, we will keep improving the biochemistry behind our technologies to enhance background noise suppression, allowing for more accurate qualification and enabling our tests to be compatible with more sequencers, as well as improving our early detection prediction models for cancer detection sensitivity, specificity and tissue origin determination accuracy.</w:t>
      </w:r>
    </w:p>
    <w:p>
      <w:pPr>
        <w:spacing w:after="0" w:line="19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Development of automation solutions for current and future products</w:t>
      </w:r>
      <w:r>
        <w:rPr>
          <w:rFonts w:ascii="Times New Roman" w:cs="Times New Roman" w:eastAsia="Times New Roman" w:hAnsi="Times New Roman"/>
          <w:sz w:val="18"/>
          <w:szCs w:val="18"/>
          <w:color w:val="auto"/>
        </w:rPr>
        <w:t>. To alleviate complicated workflow for NGS-based cancer therapy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selection products, we are developing multiple automation solutions to streamline the workflow and reduce human intervention and turnaround time. Solutions we are now developing include robotic liquid handling system and corresponding laboratory information management system integration to work with high, medium, and low throughput laboratory requirement.</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technology development on additional clinically actionable biomarkers</w:t>
      </w:r>
      <w:r>
        <w:rPr>
          <w:rFonts w:ascii="Times New Roman" w:cs="Times New Roman" w:eastAsia="Times New Roman" w:hAnsi="Times New Roman"/>
          <w:sz w:val="18"/>
          <w:szCs w:val="18"/>
          <w:color w:val="auto"/>
        </w:rPr>
        <w:t>. We are also conducting research and development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clinically actionable biomarkers. For example, we are developing a technology to sequence RNA samples to detect clinically significant RNA alterations, which is expected to be a useful supplement to DNA sequencing. Leveraging our industry-leading NGS-based cancer therapy selection products, we are further collaborating with pharmaceutical companies to accommodate their exploratory research for clinically actionable biomarkers and development needs for CDx.</w:t>
      </w:r>
    </w:p>
    <w:p>
      <w:pPr>
        <w:spacing w:after="0" w:line="183"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2023, 2024 and 2025, our research and development expenses was RMB347.0 million, RMB232.3 million and RMB166.5 million (US$23.8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protect our intellectual property rights through a combination of patents, trademarks, copyrights, trade secrets, including know-how, license agreements, confidentiality agreements and procedures, non-disclosure agreements with third parties, employee disclosure and invention assignment agreements and other contractual rights.</w:t>
      </w:r>
    </w:p>
    <w:p>
      <w:pPr>
        <w:spacing w:after="0" w:line="6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patent strategy is focused on seeking coverage for our core technologies and specific follow-on applications, implementations for detecting and monitoring cancer by determining genomic alterations, and evaluating the status of specific biomarkers in liquid or tissue samples. In addition, we file for patent protection on our on-going research and development, particularly into early-stage cancer screening.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82"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27" w:lineRule="auto"/>
        <w:rPr>
          <w:sz w:val="20"/>
          <w:szCs w:val="20"/>
          <w:color w:val="auto"/>
        </w:rPr>
      </w:pPr>
      <w:r>
        <w:rPr>
          <w:rFonts w:ascii="Times New Roman" w:cs="Times New Roman" w:eastAsia="Times New Roman" w:hAnsi="Times New Roman"/>
          <w:sz w:val="18"/>
          <w:szCs w:val="18"/>
          <w:color w:val="auto"/>
        </w:rPr>
        <w:t>Our patents and patents applications are primarily related to our proprietary library preparation technologies, algorithms and laboratory equipment and processes. As of December 31, 2025, we held 36 patents in China, which will expire between 2029 and 2045. We held nine patents in Hong Kong, which will expire between 2038 and 2044. We held three patents in Japan, which will expire in 2038 and 2042. We held one patent in Brazil, which will expire in 2039. We held one patent in United States, which will expire in 2038. We held one patent in Australia, which will expire in 2039. We held one patent in Singapore, which will expire in 2039. As of the same date, we had 27 pending patent applications in China, 15 pending patent applications in Hong Kong, four pending patent applications in the United States, five pending patent applications in European Patent Office, four pending patent applications in Japan, two pending patent application in Canada, one pending patent application in Brazil and 21 international applications strategically filed under the Patent Cooperation Treaty, or PCT, of which two are the basis of pending registration for our MSI (MicroSatellite Instability) calling algorithms in the U.S., European Patent Office and Japan, two are the basis of pending registration for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targeted DNA-methylation based library preparation method for early cancer detection, in the U.S., Canada, Brazil, Singapore, Australia, China, Hong Kong, Japan and the European Patent Office, nine are for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multi-cancer detection blood test for early cancer testing, and another two is for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MRD algorithms.</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details of our key patents:</w:t>
      </w:r>
    </w:p>
    <w:p>
      <w:pPr>
        <w:sectPr>
          <w:pgSz w:w="11900" w:h="16838" w:orient="portrait"/>
          <w:cols w:equalWidth="0" w:num="1">
            <w:col w:w="11140"/>
          </w:cols>
          <w:pgMar w:left="320" w:top="482" w:right="439" w:bottom="1440" w:gutter="0" w:footer="0" w:header="0"/>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3831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5" w:lineRule="exact"/>
        <w:rPr>
          <w:sz w:val="20"/>
          <w:szCs w:val="20"/>
          <w:color w:val="auto"/>
        </w:rPr>
      </w:pPr>
    </w:p>
    <w:p>
      <w:pPr>
        <w:jc w:val="both"/>
        <w:ind w:left="120" w:right="440"/>
        <w:spacing w:after="0" w:line="312" w:lineRule="auto"/>
        <w:rPr>
          <w:sz w:val="20"/>
          <w:szCs w:val="20"/>
          <w:color w:val="auto"/>
        </w:rPr>
      </w:pPr>
      <w:r>
        <w:rPr>
          <w:rFonts w:ascii="Times New Roman" w:cs="Times New Roman" w:eastAsia="Times New Roman" w:hAnsi="Times New Roman"/>
          <w:sz w:val="17"/>
          <w:szCs w:val="17"/>
          <w:color w:val="auto"/>
        </w:rPr>
        <w:t>A library preparation method and associated reagents (HS library preparation technology)</w:t>
      </w:r>
    </w:p>
    <w:p>
      <w:pPr>
        <w:spacing w:after="0" w:line="3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composition of matter that detects the presence of MSI in liquid biopsy samples (related to bMSISEA)</w:t>
      </w:r>
    </w:p>
    <w:p>
      <w:pPr>
        <w:spacing w:after="0" w:line="68"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An automation method of the management and reporting of quality control of laboratory processes</w:t>
      </w:r>
    </w:p>
    <w:p>
      <w:pPr>
        <w:spacing w:after="0" w:line="3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Quality control method for biological in vitro samples and computer storage medium</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Use and application</w:t>
            </w:r>
          </w:p>
        </w:tc>
        <w:tc>
          <w:tcPr>
            <w:tcW w:w="120" w:type="dxa"/>
            <w:vAlign w:val="bottom"/>
          </w:tcPr>
          <w:p>
            <w:pPr>
              <w:spacing w:after="0"/>
              <w:rPr>
                <w:sz w:val="16"/>
                <w:szCs w:val="16"/>
                <w:color w:val="auto"/>
              </w:rPr>
            </w:pPr>
          </w:p>
        </w:tc>
        <w:tc>
          <w:tcPr>
            <w:tcW w:w="1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30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cancer therapy selection tests</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tcPr>
          <w:p>
            <w:pPr>
              <w:jc w:val="right"/>
              <w:ind w:right="1314"/>
              <w:spacing w:after="0"/>
              <w:rPr>
                <w:sz w:val="20"/>
                <w:szCs w:val="20"/>
                <w:color w:val="auto"/>
              </w:rPr>
            </w:pPr>
            <w:r>
              <w:rPr>
                <w:rFonts w:ascii="Times New Roman" w:cs="Times New Roman" w:eastAsia="Times New Roman" w:hAnsi="Times New Roman"/>
                <w:sz w:val="18"/>
                <w:szCs w:val="18"/>
                <w:color w:val="auto"/>
                <w:w w:val="94"/>
              </w:rPr>
              <w:t>2036</w:t>
            </w:r>
          </w:p>
        </w:tc>
      </w:tr>
      <w:tr>
        <w:trPr>
          <w:trHeight w:val="54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Tests such as ColonCore and pan-cancer tests</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Hong Kong</w:t>
            </w:r>
          </w:p>
        </w:tc>
        <w:tc>
          <w:tcPr>
            <w:tcW w:w="1760" w:type="dxa"/>
            <w:vAlign w:val="bottom"/>
          </w:tcPr>
          <w:p>
            <w:pPr>
              <w:jc w:val="right"/>
              <w:ind w:right="1314"/>
              <w:spacing w:after="0"/>
              <w:rPr>
                <w:sz w:val="20"/>
                <w:szCs w:val="20"/>
                <w:color w:val="auto"/>
              </w:rPr>
            </w:pPr>
            <w:r>
              <w:rPr>
                <w:rFonts w:ascii="Times New Roman" w:cs="Times New Roman" w:eastAsia="Times New Roman" w:hAnsi="Times New Roman"/>
                <w:sz w:val="18"/>
                <w:szCs w:val="18"/>
                <w:color w:val="auto"/>
                <w:w w:val="94"/>
              </w:rPr>
              <w:t>2038</w:t>
            </w:r>
          </w:p>
        </w:tc>
      </w:tr>
      <w:tr>
        <w:trPr>
          <w:trHeight w:val="73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laboratory information management</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tcPr>
          <w:p>
            <w:pPr>
              <w:jc w:val="right"/>
              <w:ind w:right="1314"/>
              <w:spacing w:after="0"/>
              <w:rPr>
                <w:sz w:val="20"/>
                <w:szCs w:val="20"/>
                <w:color w:val="auto"/>
              </w:rPr>
            </w:pPr>
            <w:r>
              <w:rPr>
                <w:rFonts w:ascii="Times New Roman" w:cs="Times New Roman" w:eastAsia="Times New Roman" w:hAnsi="Times New Roman"/>
                <w:sz w:val="18"/>
                <w:szCs w:val="18"/>
                <w:color w:val="auto"/>
                <w:w w:val="94"/>
              </w:rPr>
              <w:t>2035</w:t>
            </w: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0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laboratory quality control and automation</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tcPr>
          <w:p>
            <w:pPr>
              <w:jc w:val="right"/>
              <w:ind w:right="1314"/>
              <w:spacing w:after="0"/>
              <w:rPr>
                <w:sz w:val="20"/>
                <w:szCs w:val="20"/>
                <w:color w:val="auto"/>
              </w:rPr>
            </w:pPr>
            <w:r>
              <w:rPr>
                <w:rFonts w:ascii="Times New Roman" w:cs="Times New Roman" w:eastAsia="Times New Roman" w:hAnsi="Times New Roman"/>
                <w:sz w:val="18"/>
                <w:szCs w:val="18"/>
                <w:color w:val="auto"/>
                <w:w w:val="94"/>
              </w:rPr>
              <w:t>2042</w:t>
            </w: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system for in vitro biological</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sample testing</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2">
            <w:col w:w="3780" w:space="220"/>
            <w:col w:w="7140"/>
          </w:cols>
          <w:pgMar w:left="320" w:top="482" w:right="439" w:bottom="1440" w:gutter="0" w:footer="0" w:header="0"/>
          <w:type w:val="continuous"/>
        </w:sect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NGS-based method to simultaneously detect MSI and genomic mutations in liquid biopsy samples (bMSISEA)</w:t>
      </w:r>
    </w:p>
    <w:p>
      <w:pPr>
        <w:spacing w:after="0" w:line="6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NGS-based method to simultaneously detect MSI and genomic mutations in tissue samples (prettyMSI)</w:t>
      </w:r>
    </w:p>
    <w:p>
      <w:pPr>
        <w:spacing w:after="0" w:line="6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NGS-based method to multi-cancer detection for early cancer testing in blood</w:t>
      </w:r>
    </w:p>
    <w:p>
      <w:pPr>
        <w:spacing w:after="0" w:line="5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Copy number variation detection method and application thereof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Method and system for evaluating tumor formation risk and tumor tissue source</w:t>
      </w:r>
    </w:p>
    <w:p>
      <w:pPr>
        <w:spacing w:after="0" w:line="54" w:lineRule="exact"/>
        <w:rPr>
          <w:sz w:val="20"/>
          <w:szCs w:val="20"/>
          <w:color w:val="auto"/>
        </w:rPr>
      </w:pPr>
    </w:p>
    <w:p>
      <w:pPr>
        <w:ind w:left="120" w:right="240"/>
        <w:spacing w:after="0" w:line="265" w:lineRule="auto"/>
        <w:rPr>
          <w:sz w:val="20"/>
          <w:szCs w:val="20"/>
          <w:color w:val="auto"/>
        </w:rPr>
      </w:pPr>
      <w:r>
        <w:rPr>
          <w:rFonts w:ascii="Times New Roman" w:cs="Times New Roman" w:eastAsia="Times New Roman" w:hAnsi="Times New Roman"/>
          <w:sz w:val="18"/>
          <w:szCs w:val="18"/>
          <w:color w:val="auto"/>
        </w:rPr>
        <w:t>Compositions and methods for preparing nucleic acid libraries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Method, device, medium and program for detecting mutations on basis of methylation data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Method for predicting association relationship between sample and tumor, device, medium and program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cancer therapy selection tests that detect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Hong Kong,</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2038, 2039</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MSI in liquid biopsy samples, such as</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 Australia, Japan</w:t>
            </w:r>
          </w:p>
        </w:tc>
        <w:tc>
          <w:tcPr>
            <w:tcW w:w="9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ColonCore</w:t>
            </w: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cancer therapy selection tests that detect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Japan</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2037, 2038</w:t>
            </w:r>
          </w:p>
        </w:tc>
      </w:tr>
      <w:tr>
        <w:trPr>
          <w:trHeight w:val="216"/>
        </w:trPr>
        <w:tc>
          <w:tcPr>
            <w:tcW w:w="3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MSI in tissue samples, such as OncoScreen</w:t>
            </w:r>
            <w:r>
              <w:rPr>
                <w:rFonts w:ascii="Times New Roman" w:cs="Times New Roman" w:eastAsia="Times New Roman" w:hAnsi="Times New Roman"/>
                <w:sz w:val="25"/>
                <w:szCs w:val="25"/>
                <w:color w:val="auto"/>
                <w:vertAlign w:val="superscript"/>
              </w:rPr>
              <w:t>™</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IO</w:t>
            </w: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multi-cancer detection blood test for early</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Hong Kong</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2042</w:t>
            </w:r>
          </w:p>
        </w:tc>
      </w:tr>
      <w:tr>
        <w:trPr>
          <w:trHeight w:val="3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cancer testing, such as OverC</w:t>
            </w:r>
            <w:r>
              <w:rPr>
                <w:rFonts w:ascii="Times New Roman" w:cs="Times New Roman" w:eastAsia="Times New Roman" w:hAnsi="Times New Roman"/>
                <w:sz w:val="26"/>
                <w:szCs w:val="26"/>
                <w:color w:val="auto"/>
                <w:vertAlign w:val="superscript"/>
              </w:rPr>
              <w:t>™</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cancer therapy selection tests that detect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Hong Kong,</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2042</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CNV and LGR in solid tumor samples and</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90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liquid biopsy samples, such as OncoWES,</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OncoScreenPlus, LungPlasma, ColonCore, and</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so on.</w:t>
            </w: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multi-cancer detection blood test for early</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Hong Kong</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2042</w:t>
            </w:r>
          </w:p>
        </w:tc>
      </w:tr>
      <w:tr>
        <w:trPr>
          <w:trHeight w:val="3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cancer testing, such as OverC</w:t>
            </w:r>
            <w:r>
              <w:rPr>
                <w:rFonts w:ascii="Times New Roman" w:cs="Times New Roman" w:eastAsia="Times New Roman" w:hAnsi="Times New Roman"/>
                <w:sz w:val="26"/>
                <w:szCs w:val="26"/>
                <w:color w:val="auto"/>
                <w:vertAlign w:val="superscript"/>
              </w:rPr>
              <w:t>™</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targeted DNA-methylation based library</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the U.S.,</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2038, 2039</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preparation method for early cancer detection</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Singapore</w:t>
            </w:r>
          </w:p>
        </w:tc>
        <w:tc>
          <w:tcPr>
            <w:tcW w:w="900" w:type="dxa"/>
            <w:vAlign w:val="bottom"/>
          </w:tcPr>
          <w:p>
            <w:pPr>
              <w:spacing w:after="0"/>
              <w:rPr>
                <w:sz w:val="20"/>
                <w:szCs w:val="20"/>
                <w:color w:val="auto"/>
              </w:rPr>
            </w:pPr>
          </w:p>
        </w:tc>
      </w:tr>
      <w:tr>
        <w:trPr>
          <w:trHeight w:val="30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cancer detection and therapy selection</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Hong Kong,</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2044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tests that detect low-abundance single</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PCT</w:t>
            </w:r>
          </w:p>
        </w:tc>
        <w:tc>
          <w:tcPr>
            <w:tcW w:w="90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nucleotide variations (SNVs) from methylation</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data, such as OverC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MRD monitoring</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assays</w:t>
            </w: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Our multi-cancer early detection and tumor</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Hong Kong,</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2044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tissue origin prediction tests based on cfDNA</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PCT</w:t>
            </w:r>
          </w:p>
        </w:tc>
        <w:tc>
          <w:tcPr>
            <w:tcW w:w="900" w:type="dxa"/>
            <w:vAlign w:val="bottom"/>
          </w:tcPr>
          <w:p>
            <w:pPr>
              <w:spacing w:after="0"/>
              <w:rPr>
                <w:sz w:val="18"/>
                <w:szCs w:val="18"/>
                <w:color w:val="auto"/>
              </w:rPr>
            </w:pPr>
          </w:p>
        </w:tc>
      </w:tr>
      <w:tr>
        <w:trPr>
          <w:trHeight w:val="36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methylation profiling, such as OverC</w:t>
            </w:r>
            <w:r>
              <w:rPr>
                <w:rFonts w:ascii="Times New Roman" w:cs="Times New Roman" w:eastAsia="Times New Roman" w:hAnsi="Times New Roman"/>
                <w:sz w:val="26"/>
                <w:szCs w:val="26"/>
                <w:color w:val="auto"/>
                <w:vertAlign w:val="superscript"/>
              </w:rPr>
              <w:t>™</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4" w:lineRule="exact"/>
        <w:rPr>
          <w:sz w:val="20"/>
          <w:szCs w:val="20"/>
          <w:color w:val="auto"/>
        </w:rPr>
      </w:pPr>
    </w:p>
    <w:p>
      <w:pPr>
        <w:sectPr>
          <w:pgSz w:w="11900" w:h="16838" w:orient="portrait"/>
          <w:cols w:equalWidth="0" w:num="2">
            <w:col w:w="3860" w:space="140"/>
            <w:col w:w="7140"/>
          </w:cols>
          <w:pgMar w:left="320" w:top="482"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82" w:right="4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table below sets forth details of our key pending patent applications: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patent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2028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Use and application</w:t>
            </w:r>
          </w:p>
        </w:tc>
        <w:tc>
          <w:tcPr>
            <w:tcW w:w="120" w:type="dxa"/>
            <w:vAlign w:val="bottom"/>
            <w:vMerge w:val="restart"/>
          </w:tcPr>
          <w:p>
            <w:pPr>
              <w:spacing w:after="0"/>
              <w:rPr>
                <w:sz w:val="13"/>
                <w:szCs w:val="13"/>
                <w:color w:val="auto"/>
              </w:rPr>
            </w:pPr>
          </w:p>
        </w:tc>
        <w:tc>
          <w:tcPr>
            <w:tcW w:w="31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00" w:type="dxa"/>
            <w:vAlign w:val="bottom"/>
            <w:vMerge w:val="restart"/>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87"/>
        </w:trPr>
        <w:tc>
          <w:tcPr>
            <w:tcW w:w="3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2980" w:space="720"/>
            <w:col w:w="7440"/>
          </w:cols>
          <w:pgMar w:left="320" w:top="482" w:right="439" w:bottom="1440" w:gutter="0" w:footer="0" w:header="0"/>
          <w:type w:val="continuous"/>
        </w:sect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NGS-based method to simultaneously detect MSI and genomic mutations in liquid biopsy samples (bMSISEA)</w:t>
      </w:r>
    </w:p>
    <w:p>
      <w:pPr>
        <w:spacing w:after="0" w:line="6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NGS-based method to simultaneously detect MSI and genomic mutations in tissue samples (prettyMSI)</w:t>
      </w:r>
    </w:p>
    <w:p>
      <w:pPr>
        <w:spacing w:after="0" w:line="68" w:lineRule="exact"/>
        <w:rPr>
          <w:sz w:val="20"/>
          <w:szCs w:val="20"/>
          <w:color w:val="auto"/>
        </w:rPr>
      </w:pPr>
    </w:p>
    <w:p>
      <w:pPr>
        <w:ind w:left="120" w:right="440"/>
        <w:spacing w:after="0" w:line="317" w:lineRule="auto"/>
        <w:rPr>
          <w:sz w:val="20"/>
          <w:szCs w:val="20"/>
          <w:color w:val="auto"/>
        </w:rPr>
      </w:pPr>
      <w:r>
        <w:rPr>
          <w:rFonts w:ascii="Times New Roman" w:cs="Times New Roman" w:eastAsia="Times New Roman" w:hAnsi="Times New Roman"/>
          <w:sz w:val="17"/>
          <w:szCs w:val="17"/>
          <w:color w:val="auto"/>
        </w:rPr>
        <w:t>Compositions and methods for preparing nucleic acid libraries (brELSA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p>
      <w:pPr>
        <w:spacing w:after="0" w:line="334"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8"/>
          <w:szCs w:val="18"/>
          <w:color w:val="auto"/>
        </w:rPr>
        <w:t>A detection method for variant nucleic acid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Our cancer therapy selection tests that detect MSI in liquid biopsy samples, such as ColonCore</w:t>
      </w:r>
    </w:p>
    <w:p>
      <w:pPr>
        <w:spacing w:after="0" w:line="68"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Our cancer therapy selection tests that detect MSI in tissue samples, such as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IO</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targeted DNA-methylation based library preparation method for early cancer detection</w:t>
      </w:r>
    </w:p>
    <w:p>
      <w:pPr>
        <w:spacing w:after="0" w:line="29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Our MRD detection assay and bioinformatics algorithms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PCT (currently under review by patent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offices in Canada and the European Patent</w:t>
            </w:r>
          </w:p>
        </w:tc>
        <w:tc>
          <w:tcPr>
            <w:tcW w:w="4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440" w:type="dxa"/>
            <w:vAlign w:val="bottom"/>
          </w:tcPr>
          <w:p>
            <w:pPr>
              <w:spacing w:after="0"/>
              <w:rPr>
                <w:sz w:val="20"/>
                <w:szCs w:val="20"/>
                <w:color w:val="auto"/>
              </w:rPr>
            </w:pPr>
          </w:p>
        </w:tc>
      </w:tr>
      <w:tr>
        <w:trPr>
          <w:trHeight w:val="30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Hong Kong, PCT (currently under review</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by patent offices in Japan, the U.S. and the</w:t>
            </w:r>
          </w:p>
        </w:tc>
        <w:tc>
          <w:tcPr>
            <w:tcW w:w="4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European Patent Office)</w:t>
            </w:r>
          </w:p>
        </w:tc>
        <w:tc>
          <w:tcPr>
            <w:tcW w:w="440" w:type="dxa"/>
            <w:vAlign w:val="bottom"/>
          </w:tcPr>
          <w:p>
            <w:pPr>
              <w:spacing w:after="0"/>
              <w:rPr>
                <w:sz w:val="20"/>
                <w:szCs w:val="20"/>
                <w:color w:val="auto"/>
              </w:rPr>
            </w:pPr>
          </w:p>
        </w:tc>
      </w:tr>
      <w:tr>
        <w:trPr>
          <w:trHeight w:val="30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PCT (currently under review by the patent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office in China, Hong Kong, the U.S.,</w:t>
            </w:r>
          </w:p>
        </w:tc>
        <w:tc>
          <w:tcPr>
            <w:tcW w:w="4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Japan, Canada, Brazil, and the European</w:t>
            </w:r>
          </w:p>
        </w:tc>
        <w:tc>
          <w:tcPr>
            <w:tcW w:w="4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Patent Office)</w:t>
            </w:r>
          </w:p>
        </w:tc>
        <w:tc>
          <w:tcPr>
            <w:tcW w:w="440" w:type="dxa"/>
            <w:vAlign w:val="bottom"/>
          </w:tcPr>
          <w:p>
            <w:pPr>
              <w:spacing w:after="0"/>
              <w:rPr>
                <w:sz w:val="20"/>
                <w:szCs w:val="20"/>
                <w:color w:val="auto"/>
              </w:rPr>
            </w:pP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 PCT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bl>
    <w:p>
      <w:pPr>
        <w:spacing w:after="0" w:line="325" w:lineRule="exact"/>
        <w:rPr>
          <w:sz w:val="20"/>
          <w:szCs w:val="20"/>
          <w:color w:val="auto"/>
        </w:rPr>
      </w:pPr>
    </w:p>
    <w:p>
      <w:pPr>
        <w:sectPr>
          <w:pgSz w:w="11900" w:h="16838" w:orient="portrait"/>
          <w:cols w:equalWidth="0" w:num="3">
            <w:col w:w="3500" w:space="200"/>
            <w:col w:w="3100" w:space="140"/>
            <w:col w:w="4200"/>
          </w:cols>
          <w:pgMar w:left="320" w:top="482" w:right="439" w:bottom="1440" w:gutter="0" w:footer="0" w:header="0"/>
          <w:type w:val="continuous"/>
        </w:sect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Methylation sequencing method and device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Our multi-cancer detection blood test for</w:t>
            </w:r>
          </w:p>
        </w:tc>
        <w:tc>
          <w:tcPr>
            <w:tcW w:w="220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China, PCT</w:t>
            </w:r>
          </w:p>
        </w:tc>
        <w:tc>
          <w:tcPr>
            <w:tcW w:w="1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2042</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early cancer testing</w:t>
            </w:r>
          </w:p>
        </w:tc>
        <w:tc>
          <w:tcPr>
            <w:tcW w:w="22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10" w:lineRule="exact"/>
        <w:rPr>
          <w:sz w:val="20"/>
          <w:szCs w:val="20"/>
          <w:color w:val="auto"/>
        </w:rPr>
      </w:pPr>
    </w:p>
    <w:p>
      <w:pPr>
        <w:sectPr>
          <w:pgSz w:w="11900" w:h="16838" w:orient="portrait"/>
          <w:cols w:equalWidth="0" w:num="2">
            <w:col w:w="3260" w:space="440"/>
            <w:col w:w="7440"/>
          </w:cols>
          <w:pgMar w:left="320" w:top="482" w:right="439" w:bottom="1440" w:gutter="0" w:footer="0" w:header="0"/>
          <w:type w:val="continuous"/>
        </w:sect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high-precision gene hybridization capture probe for hybridizing and capturing methylation variation regions related to various cancers</w:t>
      </w:r>
    </w:p>
    <w:p>
      <w:pPr>
        <w:spacing w:after="0" w:line="7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Copy number variation detection method and application thereof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Method and system for evaluating tumor formation risk and tumor tissue source</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Times New Roman" w:cs="Times New Roman" w:eastAsia="Times New Roman" w:hAnsi="Times New Roman"/>
          <w:sz w:val="17"/>
          <w:szCs w:val="17"/>
          <w:color w:val="auto"/>
        </w:rPr>
        <w:t>Our multi-cancer detection blood test for early cancer testing, such as OverC</w:t>
      </w:r>
      <w:r>
        <w:rPr>
          <w:rFonts w:ascii="Times New Roman" w:cs="Times New Roman" w:eastAsia="Times New Roman" w:hAnsi="Times New Roman"/>
          <w:sz w:val="25"/>
          <w:szCs w:val="25"/>
          <w:color w:val="auto"/>
          <w:vertAlign w:val="superscript"/>
        </w:rPr>
        <w:t>™</w:t>
      </w:r>
    </w:p>
    <w:p>
      <w:pPr>
        <w:spacing w:after="0" w:line="3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cancer therapy selection tests that detect CNV and LGR in solid tumor samples and liquid biopsy samples, such as OncoWES, OncoScreenPlus, LungPlasma, ColonCore, and so on.</w:t>
      </w:r>
    </w:p>
    <w:p>
      <w:pPr>
        <w:spacing w:after="0" w:line="7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color w:val="auto"/>
        </w:rPr>
        <w:t>Our multi-cancer detection blood test for early cancer testing, such as OverC</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China, Hong Kong, PCT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9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China, Hong Kong, PCT (currently under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review by patent offices in the European</w:t>
            </w:r>
          </w:p>
        </w:tc>
        <w:tc>
          <w:tcPr>
            <w:tcW w:w="46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Patent Office)</w:t>
            </w:r>
          </w:p>
        </w:tc>
        <w:tc>
          <w:tcPr>
            <w:tcW w:w="460" w:type="dxa"/>
            <w:vAlign w:val="bottom"/>
          </w:tcPr>
          <w:p>
            <w:pPr>
              <w:spacing w:after="0"/>
              <w:rPr>
                <w:sz w:val="20"/>
                <w:szCs w:val="20"/>
                <w:color w:val="auto"/>
              </w:rPr>
            </w:pPr>
          </w:p>
        </w:tc>
      </w:tr>
      <w:tr>
        <w:trPr>
          <w:trHeight w:val="73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China, Hong Kong, PCT (currently under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review by patent offices in Japan, the U.S.</w:t>
            </w:r>
          </w:p>
        </w:tc>
        <w:tc>
          <w:tcPr>
            <w:tcW w:w="46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and the European Patent Office)</w:t>
            </w:r>
          </w:p>
        </w:tc>
        <w:tc>
          <w:tcPr>
            <w:tcW w:w="46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3">
            <w:col w:w="3520" w:space="180"/>
            <w:col w:w="3100" w:space="140"/>
            <w:col w:w="4200"/>
          </w:cols>
          <w:pgMar w:left="320" w:top="482" w:right="439" w:bottom="1440" w:gutter="0" w:footer="0" w:header="0"/>
          <w:type w:val="continuous"/>
        </w:sect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also registered 16 software copyrights related to our laboratory process quality control management, report automation, and sequencing result analysis.</w:t>
      </w:r>
    </w:p>
    <w:p>
      <w:pPr>
        <w:spacing w:after="0" w:line="180" w:lineRule="exact"/>
        <w:rPr>
          <w:sz w:val="20"/>
          <w:szCs w:val="20"/>
          <w:color w:val="auto"/>
        </w:rPr>
      </w:pPr>
    </w:p>
    <w:p>
      <w:pPr>
        <w:ind w:left="120" w:right="3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2025, we registered 618 trademarks in China, including “ </w:t>
      </w:r>
      <w:r>
        <w:rPr>
          <w:sz w:val="1"/>
          <w:szCs w:val="1"/>
          <w:color w:val="auto"/>
        </w:rPr>
        <w:drawing>
          <wp:inline distT="0" distB="0" distL="0" distR="0">
            <wp:extent cx="403225" cy="137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3225"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“BURNING ROCK DX”, “ </w:t>
      </w:r>
      <w:r>
        <w:rPr>
          <w:sz w:val="1"/>
          <w:szCs w:val="1"/>
          <w:color w:val="auto"/>
        </w:rPr>
        <w:drawing>
          <wp:inline distT="0" distB="0" distL="0" distR="0">
            <wp:extent cx="163195" cy="1460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1460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product and service names, and seven trademark applications pending in China. We had registered 31 trademarks, including “BURNING ROCK DX”, “ONCOSCREEN” , “CanCatch” , “OverC” AND “ONCOCOMPASS” in European Union, the U.K, United States, Japan, Canada and Australia. We also own four registered domain names, including our official website.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sustainability and social values are fundamental to our continued growth. We aspire to create a lasting positive environmental, social, and governance (“ESG”) impacts on our business partners and the broader community whom our products and services and business operation may impact. Having a central laboratory conducting tests for our collaborating physicians and hospitals and manufacturing facilities for the production of reagent kits, we acknowledge our potential environmental impacts and social responsibilities on environmental protection.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82" w:right="4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target to implement a number of company-wide measures to ensure compliance with the stringent regulatory requirements and standard operating procedures relating to emissions of air, water and other materials, bio-waste generation and treatment, handling, use, storage, treatment and disposal of hazardous substances, worker health and safety requirements, and emergency planning and response. Specifically, we are considering implementing climate-related monitoring and disclosures based on the recommendations of the Task Force on Climate-related Financial Disclosures (“TCFD”) under the Financial Stability Board (“FSB”) to identify risks and opportunities related to climate change, and improve management to reduce greenhouse gas emissions in our operations and mitigate the impact on climate change. We acknowledge that the current climate-related disclosures contained in this document are not fully consistent with TCFD recommendations and that further work is required to enhance the identification, impact and reporting for climate-related risks and opportunities.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are not subject to significant environmental or climate-related risks. However, growing concerns about climate change and greenhouse gas emissions have led to the adoption of various regulations and policies in jurisdictions where we operate. The estimated magnitude of resulting impacts will be evaluated over short-, medium and long-term horizons. In recent years, changing weather patterns due to climate change have increased the frequency of extreme weather conditions. Disasters created by extreme conditions could cause significant interruption to our operations, including the indirect interruption as a result of the adverse impacts on our suppliers, customers and business partners. In the medium to long-term, governmental legislation and regulations in response to potential impacts of climate change, as well as the compliance requirements from our suppliers, customers and business partners in relation to our ESG practice, may potentially impact our business operation and subject us to additional compliance costs and restrictions. We support the TCFD and its recommendations and we are committed to assessing the impacts of climate risks in the coming financial years.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China’s number one NGS-based cancer therapy selection company. China’s cancer genotyping industry is highly competitive. Our major competitors include domestic NGS-based cancer therapy selection and MRD companies, such as AmoyDx, BGI and Geneseeq. Our competitors may have more expertise, experience and financial resources, stronger business relationships in developing and commercializing their products and services, more mature technologies, greater market adoption among physicians, patients and others in the medical community, broader test menus, or greater brand recognition than we do. We also cannot assure you that our technologies will not become obsolete if we cannot keep pace with the constantly changing technologies in the industry.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Voluntary Delisting from the London Stock Exchange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Due to sustained low volume of trading and liquidity in our ADSs on the London Stock Exchange, and taking into account the costs associated with maintaining such listing in place, on August 19, 2024, we announced our intention to submit formal requests (a) to the London Stock Exchange, to cancel the admission to trading on the Main Market of our ADSs representing the Class A ordinary shares, and (b) to the UK Financial Conduct Authority, to cancel the listing of the ADSs on the Official List. On September 18, 2024, we were removed from the Official List and our ADSs ceased to be traded on the London Stock Exchange.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ADS Ratio Change</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On April 25 and May 14, 2024, we announced that we planned to effect an ADS ratio change to change the ratio of ADSs to Class A ordinary shares from one ADS representing one Class A ordinary shares to the new ratio of one ADS to ten Class A ordinary shares. The ADS ratio change will have the same effect as a one-for-ten reverse ADS split for our ADS holders. There will be no change to the underlying Class A ordinary shares, and no Class A ordinary shares will be issued or cancelled in connection with this ADS ratio change. The ADS ratio change became effective on May 15,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a variety of PRC laws, rules and regulations affecting many aspects of our business. This section summarizes the principal PRC laws, rules and regulations that we believe are relevant to our business and operations.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82"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121" w:lineRule="exact"/>
        <w:rPr>
          <w:sz w:val="20"/>
          <w:szCs w:val="20"/>
          <w:color w:val="auto"/>
        </w:rPr>
      </w:pPr>
    </w:p>
    <w:p>
      <w:pPr>
        <w:jc w:val="both"/>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Investment in China by foreign investors are regulated by the Catalog of Industries for Encouraging Foreign Investment, as promulgated by the MOFCOM and the NDRC on December 27, 2020 and effective on January 27, 2021, and the Special Administrative Measures for Access of Foreign Investment (2024 Edition), or the Negative List, as promulgated on September 6, 2024 and effective on November 1, 2024. Industries not listed in the Negative List are generally permitted and open to foreign investment, unless specifically prohibited or restricted by the PRC laws and regulations.</w:t>
      </w:r>
    </w:p>
    <w:p>
      <w:pPr>
        <w:spacing w:after="0" w:line="16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According to the Negative List, foreign investors are permitted to access to the medical device industry, whereas foreign investors are prohibited from investing in businesses involving the development and application of genomic diagnosis and treatment technology.</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a foreign-invested enterprise in the PRC is required to comply with other regulations on its incorporation, operation and changes. On March 15, 2019, the National People’s Congress adopted the Foreign Investment Law of the PRC, which became effective on January 1, 2020. Pursuant to the Foreign Investment Law of the PRC, China will grant national treatment to foreign invested entities, except for those foreign invested entities that operate in industries that fall within “restricted” or “prohibited” categories as prescribed in the Negative List to be released or approved by the State Council.</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Implementation Rules to the Foreign Investment Law, which became effective on January 1, 2020. The implementation rules further clarify that the state encourages and promotes foreign investment, protects the lawful rights and interests of foreign investors, regulates foreign investment administration, continues to optimize foreign investment environment, and advances a higher-level opening. On December 30, 2019, the MOFCOM and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shall submit the investment information to the competent commerce department.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Human Genetic Resources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 on the Management of Human Genetic Resources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Regulation on the Management of Human Genetic Resources, as promulgated by the State Council on May 28, 2019 and effective on July 1, 2019, Administrative Regulations of the People’s Republic of China on Human Genetic Resources (Revised in 2024) , as promulgated by the State Council on March 10, 2024 and effective on May 1,2024, regulates the collection, preservation, usage and external provision of China’s human genetic resources. According to this regulation, “human genetic resource” includes human genetic resource materials and information. Human genetic resource materials refer to organs, tissues, cells and other genetic materials containing human genome, genes and other genetic materials. Human genetic resource information refers to information, such as data, generated by human genetic resources materials. The Administrative Department of Science and Technology under the State Council is responsible for the management of human genetic resources at the national level, and the administrative departments of science and technology under the provincial governments are responsible for the management of human genetic resources at local level and are vertically directed by the central government.</w:t>
      </w:r>
    </w:p>
    <w:p>
      <w:pPr>
        <w:spacing w:after="0" w:line="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Foreign entities, individuals and such entities established or actually controlled thereby are not allowed to collect or preserve China’s human genetic resources (including organs, tissues, cells and other genetic materials of human genome and gene) or provide human genetic resources abroad, while they are prohibited from using China’s human genetic resources unless they have obtained an approval from relevant PRC government authority or have filed with relevant government authority for international cooperation with a Chinese entity.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Biosecurity Law</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October 17, 2020, the Standing Committee of the National People’s Congress adopted the Biosecurity Law of the People’s Republic of China, or the Biosecurity Law, which became effective on April 15, 2021. On April 26, 2024, adopted the Biosecurity Law of the People’s Republic of China(Amended in 2024), or the Biosecurity Law, which became effective on April 26, 2024. The Biosecurity Law establishes an integrated system to regulate biosecurity related activities in China, including the security regulation of HGR and biological resources. The Biosecurity Law for the first time expressly declares that China has sovereignty over its HGR, and further endorsed the Administrative Regulations of the People’s Republic of China on Human Genetic Resources (Revised in 2024), as promulgated by the State Council on May 28, 2019 by recognizing the fundamental regulatory principles and systems established by it over the utilization of Chinese HGR by foreign entities in China. Although the Biosecurity Law does not provide any specific new regulatory requirements for HGR, because it is a law adopted by China’s highest legislative authority, it gives China’s major regulatory authority of HGR, the Ministry of Science and Technology, significantly more power and discretion to regulate HGR, and it is expected that the overall regulatory landscape of Chinese HGR will evolve and become even more rigorous and sophisticated. Failure to comply with the requirement under the Biosecurity Law will result in the penalties, including fines, suspension of related activities and confiscation of related HGR and gains generated from conducting these activities.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on Medical Institutions and Medical Devices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newly formed NMPA under the State Administration for Market Regulation is the government authority that monitors and supervises the administration of pharmaceutical products, medical devices and cosmetics. The NMPA’s predecessor, the CFDA, was established in March 2013 and separated from the Ministry of Health of the PRC, or the MOH, as part of an institutional reform of the State Council. Predecessors of the NMPA also include the former State Food and Drug Administration, or the SFDA, which was established in March 2003 and the State Drug Administration, or the SDA, that was established in August 1998. The primary responsibilities of the NMPA include:</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supervising the administration of pharmaceutical products, medical devices and cosmetics in the PRC;</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administrative rules and policies concerning the supervision and administration of the pharmaceutical, medical device and cosmetics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registering and approving of new drugs, generic drugs, imported drugs and traditional Chinese medicine;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issuing permits for the manufacture and export/import of pharmaceutical products and medical devices, and approving the establishment of enterprises to be engaged in the manufacture and distribution of pharmaceutical products; and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and evaluating the safety of pharmaceutical products, medical devices and cosmetics and handling significant accidents involving these products.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National Health and Family Planning Commission, or the NHFPC, has been renamed as the National Health Commission, or the NHC. The NHC is an authority at the ministerial level under the State Council and is primarily responsible for national public health. The NHC combines the responsibilities of the former NHFPC, the Leading Group Overseeing Medical and Healthcare Reform under the State Council, the China National Working Commission on Aging, partial responsibilities of the Ministry of Industry and Information Technology in relation to tobacco control, and partial responsibilities from the State Administration of Work Safety in relation to occupational safety. The predecessor of NHFPC is the MOH. Following the establishment of the SFDA in 2003, the MOH was put in charge of the overall administration of national health in the PRC excluding the pharmaceutical industry.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Medical Institutions Laws and Regulations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Regulation on the Administration of Medical Institutions as promulgated by the State Council in 1994 and revised in 2016 and 2022 provides the requirements for the establishment and administration of medical institutions. The establishment of medical institutions must comply with local governments’ plans for the establishment of medical institutions and the basic standards for medical institutions. To establish a medical institution, an entity or individual will be subject to the examination and approval of the health administrative department of the local government at or above the county level if required by the regulations of the State Council. A medical institution other than a clinic providing medical services must register and obtain a Medical Institution Practice License. An entity or individual that has not obtained a Medical Institution Practice License or filed for record may not carry out diagnosis or treatment activities. The revised Rules for Implementation of the Administrative Regulation on Medical Institutions, as promulgated by the NHFPC in February 2017, further regulates the approval on the establishment, registration, validation and practice of medical institutions.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82"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Guangzhou Burning Rock Dx Co., Ltd., a subsidiary of the VIE, obtained a Medical Institution Practice License in September 2017, with a five-year validity from March 2015 to March 2020. This license was renewed in February 2020, and the renewed license has a five-year validity until February 2025.</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Measures for the Administration of Clinical Testing Laboratories in Medical Institutions, which was promulgated by the MOH in February 2006 and became effective in June 2006 and was revised in July 2020, provides regulations on the examination, establishment, quality management and safety practice of clinical testing laboratories in medical institutions.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Measures for the Administration of Clinical Gene Amplification Testing Laboratories in Medical Institutions, as promulgated by the MOH in December 2010, provides the requirements for medical institutions to carry out clinical gene amplification test techniques. A clinical gene amplification testing laboratory refers to a laboratory that detects specific DNA or RNA by amplification to perform disease diagnosis, treatment monitoring and prognosis determination. The MOH is responsible for supervising and administering clinical gene amplification testing laboratories in medical institutions nationwide. The health administrative authorities at the provincial level are responsible for supervising and administering clinical gene amplification testing laboratories in medical institutions within their respective administrative regions. This regulation also provides the examination and establishment of clinical gene amplification testing laboratories, laboratory quality management and laboratory supervision and management.</w:t>
      </w:r>
    </w:p>
    <w:p>
      <w:pPr>
        <w:spacing w:after="0" w:line="18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Notice for the Basic Standards for Clinical Testing Laboratories (for Trial Implementation), as promulgated by the NHFPC in July 2016, further provides the standards and requirements for clinical testing laboratories.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Notice for the Further Administration of Clinical Gene Amplification Testing Laboratories in Medical Institutions as promulgated by the Guangdong Health Department in September 2012 provides that medical institutions carrying out clinical gene amplification test techniques must apply for technical access from the Guangdong Health Department, and the Guangdong Clinical Laboratory Center is authorized as the technical auditing institution of clinical gene amplification testing technology.</w:t>
      </w:r>
    </w:p>
    <w:p>
      <w:pPr>
        <w:spacing w:after="0" w:line="180" w:lineRule="exact"/>
        <w:rPr>
          <w:sz w:val="20"/>
          <w:szCs w:val="20"/>
          <w:color w:val="auto"/>
        </w:rPr>
      </w:pPr>
    </w:p>
    <w:p>
      <w:pPr>
        <w:jc w:val="both"/>
        <w:ind w:left="120" w:right="780" w:firstLine="440"/>
        <w:spacing w:after="0" w:line="266" w:lineRule="auto"/>
        <w:rPr>
          <w:sz w:val="20"/>
          <w:szCs w:val="20"/>
          <w:color w:val="auto"/>
        </w:rPr>
      </w:pPr>
      <w:r>
        <w:rPr>
          <w:rFonts w:ascii="Times New Roman" w:cs="Times New Roman" w:eastAsia="Times New Roman" w:hAnsi="Times New Roman"/>
          <w:sz w:val="18"/>
          <w:szCs w:val="18"/>
          <w:color w:val="auto"/>
        </w:rPr>
        <w:t>The Notice for the Further Administration of Department Office and Medical Technology in Clinical Institutions, as promulgated by the Guangdong Health Department in May 2016, further provides for the management of medical technology. Clinical gene amplification testing technology, as a limited medical technology, is subject to the examination and approval of the Guangdong Health Department.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Guangzhou Burning Rock Dx Co., Ltd., a subsidiary of the VIE, obtained its Certificate of Clinical Gene Amplification Testing Laboratory in August 2015, with a five-year validity from August 2015 to August 2020, and the certificate was successfully renewed in May 2021. Guangzhou Burning Rock Dx Co., Ltd. obtained its Certificate of High Throughput Sequencing Testing Laboratory in May 2018, with a five-year validity from May 2018 to May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Medical Devices Administration Laws and Regulations</w:t>
      </w:r>
    </w:p>
    <w:p>
      <w:pPr>
        <w:spacing w:after="0" w:line="121"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According to the Notice on Strengthening the Management of Products and Technologies Related to Clinical Use of Gene Sequencing, as promulgated by the CFDA and NHFPC in February 2014, gene sequencing diagnostic products (including gene sequencer and related diagnostic reagents and software) are regulated as medical devices and must be registered pursuant to relevant regulations.</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Regulations on the Supervision and Administration of Medical Devices, as amended by the State Council in May 2017, February 2021, and December 2024, regulates entities that engage in the research and development, production, operation, use, supervision and administration of medical devices in the PRC. Medical devices are classified according to their risk levels. Class I medical devices are medical devices with low risks, and the safety and effectiveness of which can be ensured through routine administration. Class II medical devices are medical devices with moderate risks, which are strictly controlled and administered to ensure their safety and effectiveness. Class III medical devices are medical devices with relatively high risks, which are strictly controlled and administered through special measures to ensure their safety and effectiveness. The evaluation of the risk levels of medical devices take into consideration the medical devices’ objectives, structural features, methods of use and other factors. Registration certificates are required for Class II and Class III medical devices. The classification of specific medical devices is stipulated in the Medical Device Classification Catalog, which was issued by the CFDA on August 31, 2017 and became executive on August 1, 2018, and whose certain contents were adjusted by NMPA on August 15, 2023 and on December 30, 2025. According to the most recently amended Regulations on the Supervision and Administration of Medical Devices which became effective on January 20, 2025, qualified medical institutions may, based on clinical demands, conduct research and development on in vitro diagnostic testing reagents if the same type of products are not available at market in China, and may also use such in vitro diagnostic testing reagents internally under the instruction of practicing physicians. Specific administrative measures shall be formulated by the medical products administration of the State Council in conjunction with the competent department of health of the State Council.</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Administrative Measures for the Registration of Medical Devices, or the Medical Devices Registration Measures, as promulgated by the CFDA in October 2014, provide that Class I medical devices are subject to record-filing, while Class II and Class III medical devices are subject to registration. According to the Medical Devices Registration Measures, the registration and record-filing of IVD reagents that are regulated as medical devices are governed by the Administrative Measures for the Registration of IVD Reagents, which was first promulgated by the CFDA and took effect on July 30, 2014, and amended on January 25, 2017. Pursuant to the Administrative Measures for the Registration of IVD Reagents, Class I IVD reagents are subject to filing, and Class II and Class III IVD reagents are subject to inspection, approval and registration. On August 26, 2021, the SAMR promulgated the Administrative Measures for the Registration and Record-filing of Medical Devices and the Administrative Measures for the Registration and Record-filing of IVD Reagents, both of which became effective on October 1, 2021, and replaced the Medical Devices Registration Measures and the Administrative Measures for the Registration of IVD Reagents respectively.</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According to the Opinions on Deepening the Reform of the Evaluation and Approval System and Inspiring Innovation of Drugs and Medical Devices, the evaluation and approval for the application of innovative medical devices will be prioritized. In November 2018, the NMPA released the Special Review Procedures for Innovative Medical Devices, which provides that the NMPA will prioritize applications for qualified innovative medical devices. These rules specify requirements for the application of innovative medical devices, including certificates, intellectual property, process and results of product research and development and other technical documents.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Measures for the Supervision and Administration of the Manufacture of Medical Devices, as promulgated by the CFDA in November 2017, regulates entities that engage in the manufacturing of medical devices in the PRC. The food and drug administration authorities at or above the county level regulate medical device manufacturing within their administrative regions, including manufacturing-related licensing and filing, contract manufacturing and manufacturing quality controls. Production permits are required for the manufacture of Class II and Class III medical devices. A medical device production license is valid for five years, which may be extended upon expiration in accordance with relevant administrative provisions. Medical device manufacturers are not required to obtain a medical device operation license to sell their self-manufactured products. On March 10, 2022, the SAMR promulgated the new Measures for the Supervision and Administration of the Manufacture of Medical Devices which became effective on May 1, 2022.</w:t>
      </w:r>
    </w:p>
    <w:p>
      <w:pPr>
        <w:spacing w:after="0" w:line="19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Good Manufacturing Practice Rules for Medical Devices, as promulgated by the CFDA on December 29, 2014 and effective on March 1, 2015, provide basic principles for quality control systems for medical devices manufacturing, and these rules are applicable to the entire process of design and development, production, sales and post-sale services of medical devices.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Measures for the Supervision and Administration of the Business Operation of Medical Devices, as promulgated by the CFDA in November 2017, regulates entities conducting the business operation of medical devices in the PRC. Medical devices are assigned to one of three regulatory classes based on the level of control necessary to assure the safety and effectiveness of the device. Business activities involving medical devices are regulated in accordance with the classification of each of the medical devices. No filing or license is required for business activities involving Class I medical devices. Filing is required for business activities involving Class II medical devices, and licenses are required for business activities involving Class III medical devices. A medical device operation license is valid for five years, which may be extended upon expiration in accordance with relevant administrative provisions. Medical devices manufacturing enterprises engaging in the sale of self-produced products are not required to obtain a medical device operation license. On March 10, 2022, the SAMR promulgated the new Measures for the Supervision and Administration of the Business Operation of Medical Devices which became effective on May 1,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According to the Supervision and Administration of Medical Devices, entities are prohibited from using or operating unregistered or unfiled, expired, invalid or obsolete medical devices or those without a certificate of conformity.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Notice on Strengthening the Administration of Import and Use of Pharmaceutical and Medical Devices, as promulgated by the CFDA in October 2010, medical institutions may only purchase qualified medical devices from enterprises with a medical device manufacture license or a medical device operation license.</w:t>
      </w:r>
    </w:p>
    <w:p>
      <w:pPr>
        <w:spacing w:after="0" w:line="176"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Guangzhou Burning Rock Dx Co., Ltd., a subsidiary of the VIE, obtained Class I medical devices record-filing certificates for our general kit for sequencing reaction, nucleic acid extraction or purification reagent, sequencing kit for gene sequencing and library kit for gene sequencing (DNA interruption linking) in May 2016, January 2017, April 2017 and December 2017, respectively. Guangzhou Burning Rock Dx Co., Ltd. also obtained a Class III medical device registration certificate for our human EGFR/ALK/BRAF/KRAS fusion gene mutation detection kit (reversible termination sequencing) and mutation gene analysis software for non-small cell lung cancer in July 2018 and August 2019, respectively. In March 2022, Guangzhou Burning Rock Dx Co., Ltd. obtained from the NMPA a Class III medical device registration certificate for our human nine-gene mutation joint detection kit (reversible termination sequencing) (LungCure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CDx) for non-small cell lung cancer.</w:t>
      </w:r>
    </w:p>
    <w:p>
      <w:pPr>
        <w:spacing w:after="0" w:line="5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Guangzhou Burning Rock Dx Co., Ltd. obtained a Class III medical device manufacture license for our human EGFR/ALK/BRAF/KRAS fusion gene mutation detection kit (reversible termination sequencing) in August 2018, with a term of five years. This license was last renewed in August 2023 and will remain valid for five years.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Guangzhou Burning Rock Medical Equipment Co., Ltd. obtained a medical device operation license for Class III medical devices in December 2020, with a term of five years. This license was last renewed in September 2025 and will remain valid for five years.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Medical Devices Subject to Cold Chain Management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According to the Guidelines for Cold Chain (Transport &amp; Storage) Management of Medical Devices, as promulgated by the CFDA in September 2016, medical devices subject to cold chain management, such as our reagent kits, are medical devices requiring refrigeration and frozen management in the process of transportation and storage in accordance with relevant instructions and labels. Medical device manufacturers and wholesalers must equip with cold storage, refrigerated vehicles and containers, and other facilities and equipment, which fit the variety and scale of the medical devices they produce or operate. To ensure proper temperature control during transportation, operators must choose a reasonable means of transportation, and take adequate temperature control measures based on transportation conditions, which, among others, include the quantity of medical devices subject to cold-chain management, the distance and time requirements, and the temperature requirements. Operators who engage third-party carriers must examine the carrier’s qualifications and capabilities, and enter into relevant agency agreements for transportation.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Tendering Processes for Medical Devices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has implemented measures to encourage pooled procurement of expensive medical consumables through tendering processes. In June 2007, MOH issued the Notice on Further Strengthening the Administration of Centralized Procurement of Medical Devices, which requires that all non-profit medical institutions established by local governments, associations or state-owned enterprises participate in the centralized procurement. Public tendering will be the principal method for centralized procurement.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Policies on NGS-based Cancer Therapy Selection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recent years, China has introduced a series of policies that support the development of NGS-based cancer therapy selection. The table below presents a selection of these policies introduced by relevant governmental authorities in China from 2015 to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Authority</w:t>
            </w:r>
          </w:p>
        </w:tc>
        <w:tc>
          <w:tcPr>
            <w:tcW w:w="120" w:type="dxa"/>
            <w:vAlign w:val="bottom"/>
          </w:tcPr>
          <w:p>
            <w:pPr>
              <w:spacing w:after="0"/>
              <w:rPr>
                <w:sz w:val="15"/>
                <w:szCs w:val="15"/>
                <w:color w:val="auto"/>
              </w:rPr>
            </w:pPr>
          </w:p>
        </w:tc>
        <w:tc>
          <w:tcPr>
            <w:tcW w:w="694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Key messages</w:t>
            </w:r>
          </w:p>
        </w:tc>
      </w:tr>
      <w:tr>
        <w:trPr>
          <w:trHeight w:val="29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NHC</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NHC published Guidelines for Personalized Medical Testing Applications of Sequencing</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Technology, which provides guidance on sample collection, transportation, receiving,</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processing, testing and inspection of project development, verification, and validation, basic</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principles of quality control, result reporting, and the possible problems and countermeasures,</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 provide standardized guidance on precision medicine based on sequencing technology</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2015</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NHC</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NHC published Guidelines for Individualized Treatment and Detection of Tumors, which</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provides for the standardization of testing technology, laboratory access and quality assurance.</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It includes specific requirements for clinical and medical laboratories to ensure the accuracy of</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genotyping test results.</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2016</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NHC</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NHC published Notice of the General Office of the National Health and Family Planning</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Commission on Issues Related to the Management of Clinical Testing Projects, which covers</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strengthening the management of clinical inspection projects, standardizing the clinical</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inspection work of medical institutions, meeting the needs of clinical medical treatment, and</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ensuring the quality and safety of medical treatment.</w:t>
            </w: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NHC</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NMPA Issued a Notice on Special Review Procedure for Innovative Medical Devices.</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2021</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NMPA</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NMPA published Guidelines for Clinical Trials of In Vitro Diagnostic Reagents, which</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provides basic principles for IVD reagent clinical trials, provides recommendations in principle</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for clinical trial design, identifies key factors to consider during clinical trials, and provides</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reference for technical review departments in reviewing clinical trial data.</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2021</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NMPA</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NMPA published Guidelines for Clinical Trial of ‘Follow-on’ companion diagnostic</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reagents for anti-tumor drugs (2021 No.95), which provides principals of follow-on CDx in</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obtaining clinical utility evidence (e.g. bridging study), clinical performance evidence, and</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preparing of submission dossiers.</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2022</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NMPA</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NMPA published Guidelines for Clinical Trial of Co-development companion diagnostic</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reagents for anti-tumor drugs (2022 No.28), which provides principals of co-development CDx</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with durg in obtaining clinical utility evidence, clinical performance evidence, and preparing of</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submission dossiers.</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NMPA</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NMPA published Guidelines for Clinical Trial Review of NSCLC Gene Mutation Test</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based on NGS Technology (2024 No.4), which provides specific instructions for NGS based</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NGSCLS CDx IVD kit in intended use, clinical performance study design, concordance study</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bridging study design and requirements etc.</w:t>
            </w:r>
          </w:p>
        </w:tc>
      </w:tr>
      <w:tr>
        <w:trPr>
          <w:trHeight w:val="365"/>
        </w:trPr>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90</w:t>
            </w:r>
          </w:p>
        </w:tc>
      </w:tr>
    </w:tbl>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Authority</w:t>
            </w:r>
          </w:p>
        </w:tc>
        <w:tc>
          <w:tcPr>
            <w:tcW w:w="120" w:type="dxa"/>
            <w:vAlign w:val="bottom"/>
          </w:tcPr>
          <w:p>
            <w:pPr>
              <w:spacing w:after="0"/>
              <w:rPr>
                <w:sz w:val="15"/>
                <w:szCs w:val="15"/>
                <w:color w:val="auto"/>
              </w:rPr>
            </w:pPr>
          </w:p>
        </w:tc>
        <w:tc>
          <w:tcPr>
            <w:tcW w:w="694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Key messages</w:t>
            </w:r>
          </w:p>
        </w:tc>
      </w:tr>
      <w:tr>
        <w:trPr>
          <w:trHeight w:val="29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MOFCOM, NHC and</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MOFCOM, NHC and NMPA issued the Administration on Carrying Out a Pilot Program for</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NMPA</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Expanding Opening-up in the Medical-related Field, or the “Pilot Program” which took</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effective on the same date, providing that, as of the date of promulgation of this Pilot Program,</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foreign-invested companies in the China (Beijing) Pilot Free Trade Zone, the China (Shanghai)</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Pilot Free Trade Zone, the China (Guangdong) Pilot Free Trade Zone and the Hainan Free</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Trade Port are allowed to engage in the technology development and application of human stem</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cells and gene diagnosis and treatment to register, produce and apply products. All the products</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that have been registered and approved for production may be used across the country.</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Council</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State Council published Amendments to the Regulation on the Supervision and</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of Medical Devices (Revised in 2024), which regulates Class III medical</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devices, including NGS products, under product registration management. It also provided</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detailed requirements for Class III medical device registration.</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NHC</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NHC published new Guidelines for Clinical Application of New Cancer Drugs to guide the</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clinical application of cancer drugs. The guidelines cover 7 types of tumors including</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w w:val="99"/>
              </w:rPr>
              <w:t>respiratory system, digestive system, blood tumor, urinary system, breast cancer and 42 types of</w:t>
            </w: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cancer drugs, providing clear guidance for precision medicine.</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PRC Regulations Affecting Our Business Activities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Commercial Bribery Regulations</w:t>
      </w:r>
    </w:p>
    <w:p>
      <w:pPr>
        <w:spacing w:after="0" w:line="121"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Standing Committee of the National People’s Congress adopted the Anti-Unfair Competition Law, which became effective on December 1, 1993 and was amended on November 4, 2017, April 23, 2019, and June 27, 2025, respectively, with the most recent amendment coming into force on October 15, 2025. The Anti-Unfair Competition Law provides that a business operator commits a crime if it offers money or any other bribes in the course of selling or purchasing products.</w:t>
      </w:r>
    </w:p>
    <w:p>
      <w:pPr>
        <w:spacing w:after="0" w:line="13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Medical device companies involved in criminal investigations or administrative proceedings related to bribery are listed in the Adverse Records of Commercial Briberies by their respective provincial health and family planning administrative departments. Pursuant to the Provisions on the Establishment of Adverse Records of Commercial Briberies in the Medicine Purchase and Sales Industry, which became effective on March 1, 2014, provincial health and family planning administrative departments are responsible for formulating the implementing measures for the establishment of Adverse Records of Commercial Briberies. If a company is listed in the Adverse Records of Commercial Briberies for the first time, its products may not be purchased by public medical institutions. A company will not be penalized by the relevant PRC government authorities merely by virtue of having contractual relationships with sales agents or third-party promoters who are engaged in bribery activities, so long as such company and its employees are not utilizing the sales agents or third-party promoters for the implementation of, or acting in conjunction with them in, the prohibited bribery activities. In addition, a company is under no legal obligation to monitor the operating activities of its sales agents and third-party promoters, and will not be subject to penalties or sanctions by relevant PRC government authorities as a result of failure to monitor their operating activities.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Regulations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to a strict new medical products approval process, certain PRC laws have been promulgated to protect the rights of consumers and to strengthen the control of medical products in China. Under current PRC law, manufacturers and vendors of defective products in China may incur liability for loss and injury caused by such products. Pursuant to the General Principles of the Civil Law of the PRC promulgated on April 12, 1986 and amended on August 27, 2009, a defective product that causes property damage or physical injury to any person may subject the manufacturer or vendor of that product to civil liability for such damage or injury. On May 28, 2020, the Third Session of the 13th National People’s Congress passed the Civil Code of the PRC which took effect on January 1, 2021, and replaced the General Principles of the Civil Law of the PRC. The Civil Code of the PRC provides that the defective product that causes any property damage or physical injury to any person may subject the manufacturer or vendor of that product to civil liability for such damage or injury.</w:t>
      </w:r>
    </w:p>
    <w:p>
      <w:pPr>
        <w:spacing w:after="0" w:line="1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February 22, 1993, the Product Quality Law of the PRC, or the Product Quality Law, was promulgated to supplement the General Principles of the Civil Law of the PRC aiming to protect the legitimate rights and interests of the end-users and consumers and to strengthen the supervision and control of the quality of products. The Product Quality Law was revised by the National People’s Congress on July 8, 2000, August 27, 2009 and December 29, 2018. Pursuant to the revised Product Quality Law, manufacturers who produce defective products may be subject to civil or criminal liability and have their business licenses revoked.</w:t>
      </w:r>
    </w:p>
    <w:p>
      <w:pPr>
        <w:spacing w:after="0" w:line="15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Law of the PRC on the Protection of the Rights and Interests of Consumers was promulgated on October 31, 1993 and was amended on August 27, 2009 and October 25, 2013 to protect consumers’ rights when they purchase or use goods and accept services. All business operators must comply with this law when they manufacture or sell goods and/or provide services to customers. Under the amendments made on October 25, 2013, all business operators must pay high attention to protecting customers’ privacy and must strictly keep confidential any consumer information they obtain during their business operations. In addition, in extreme situations, pharmaceutical product manufacturers and operators may be subject to criminal liability if their goods or services lead to the death or injuries of customers or other third parties.</w:t>
      </w:r>
    </w:p>
    <w:p>
      <w:pPr>
        <w:sectPr>
          <w:pgSz w:w="11900" w:h="16838" w:orient="portrait"/>
          <w:cols w:equalWidth="0" w:num="1">
            <w:col w:w="11140"/>
          </w:cols>
          <w:pgMar w:left="320" w:top="482"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not aware of any material product liability related litigation or other legal proceedings against us arising from the gene testing products or services that we provide to our customers.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Law of PRC Tort Liabilities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May 28, 2020, the Third Session of the 13th National People’s Congress passed the Civil Code of the PRC which took effect on January 1, 2021, and replaced the Tort Law of the PRC. Under the Civil Code of the PRC, if damages to persons are caused by defective products due to the fault of a third party, such as the parties providing transportation or warehousing services, the producers and the sellers of the products have a right to recover their respective losses from such third parties. If defective products are identified after they have been distributed, the producers or the sellers must take remedial measures, such as issuance of a warning or recall of products, in a timely manner. The producers or the sellers will be liable under tort if they fail to take remedial measures in a timely manner or have not made efforts to take remedial measures, thus causing damages. If the products are produced or sold with known defects and cause deaths or severe adverse health issues, the infringed party has a right to claim punitive damages in addition to compensatory damages.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Laws and Regulations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China has made substantial efforts to promulgate comprehensive legislation governing intellectual property rights, including laws and regulations on patents, trademarks, copyrights and domain names.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PRC Patent Law, most recently amended in October 2020, and its implementation rules, most recently amended in December 2023,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a new design of a certain product in shape (overall or partial), pattern (or a combination of both) and in color, shape and pattern combinations aesthetically suitable for industrial application. Under the PRC Patent Law, the term of patent protection starts from the date of application. Patents relating to invention are effective for twenty years, utility model patents are effective for ten years and design patents are effective for fifteen years from the date of application. The PRC Patent Law adopts the principle of “first-to-file” system, which provides that where more than one person files a patent application for the same invention, a patent will be granted to the person who first files the application.</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Existing patents can be narrowed, invalidated or unenforceable due to a variety of grounds, including lack of novelty, creativity, and deficiencies in patent application. In China, a patent must have novelty, creativity and practical applicability. Under the PRC Patent Law, novelty means that before a patent application is filed, no 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China National Intellectual Property Administration, or CNIPA. Normally, the CNIPA publishes an application for an invention patent within 18 months after the filing date, which may be shortened at the request of applicant. The applicant must apply to the CNIPA for a substantive examination within three years from the date of application.</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PRC Patent Law provides that, for an invention or utility model completed in China, any applicant (not limited to Chinese companies and individuals), before filing a patent application outside of China, must first submit it to the CNIPA for a confidential examination. Failure to comply with this requirement will result in the denial of any Chinese patent for the relevant invention. This added requirement of confidential examination by the CNIPA has raised concerns by foreign companies that conduct research and development activities in China or outsource research and development activities to service providers in China.</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Patent Enforcement</w:t>
      </w:r>
    </w:p>
    <w:p>
      <w:pPr>
        <w:spacing w:after="0" w:line="11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Unauthorized use of patents without consent from owners of patents, forgery of patents belonging to other persons, or engaging in other patent infringement acts, will subject the infringers to infringement liability. Serious offenses such as forgery of patents may be subject to criminal penalties.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82"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When a dispute arises out of the infringement of a patent owner’s patent rights, PRC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request of the patent owner or an interested party before instituting any legal proceedings or during the proceedings. Damages for infringement are calculated as the loss suffered by the patent holder arising from the infringement, and if the loss suffered by the patent holder arising from the infringement cannot be determined, the damages for infringement are calculated as the benefit gained by the infringer from the infringement. If it is difficult to ascertain damages in this manner, damages may be determined using a reasonable multiple of the license fee under a contractual license. Statutory damages may be awarded in circumstances where damages cannot be determined by the calculation standards described above. The damage calculation methods will be applied in the order described above. Generally, a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192" w:lineRule="exact"/>
        <w:rPr>
          <w:sz w:val="20"/>
          <w:szCs w:val="20"/>
          <w:color w:val="auto"/>
        </w:rPr>
      </w:pPr>
    </w:p>
    <w:p>
      <w:pPr>
        <w:ind w:left="120" w:firstLine="440"/>
        <w:spacing w:after="0" w:line="245" w:lineRule="auto"/>
        <w:rPr>
          <w:sz w:val="20"/>
          <w:szCs w:val="20"/>
          <w:color w:val="auto"/>
        </w:rPr>
      </w:pPr>
      <w:r>
        <w:rPr>
          <w:rFonts w:ascii="Times New Roman" w:cs="Times New Roman" w:eastAsia="Times New Roman" w:hAnsi="Times New Roman"/>
          <w:sz w:val="18"/>
          <w:szCs w:val="18"/>
          <w:color w:val="auto"/>
        </w:rPr>
        <w:t>As of December 31, 2025, we held 36 patents in China, which will expire between 2029 and 2045. We held nine patents in Hong Kong, which will expire between 2038 and 2044. We held three patents in Japan, which will expire in 2038 and 2039. We held one patent in Brazil, which will expire in 2039. We held one patent in United States, which will expire in 2038. We held one patent in Australia, which will expire in 2039. We held one patent in Singapore, which will expire in 2039. As of the same date, we had 27 pending patent applications in China, 15 pending patent applications in Hong Kong, four pending patent applications in the United States, five pending patent applications in European Patent Office, four pending patent applications in Japan, two pending patents application in Canada, one pending patent application in Brazil and 21 international applications strategically filed under the Patent Cooperation Treaty, or PCT, of which two are the basis of pending registration for our MSI calling algorithms in the U.S., European Patent Office and Japan two are the basis of pending registration for brELSA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targeted DNA-methylation based library preparation method for early cancer detection, in the U.S., Canada, Brazil, Singapore, Australia, Chinese mainland, Hong Kong, Japan and the European Patent Office, nine are for OverC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multi- cancer detection blood test for early cancer testing and another two are for CanCatch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MRD algorithms.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11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According to the PRC Anti-Unfair Competition Law, the term “trade secrets” refers to technical and business information that is unknown to the public, has utility and may create business interests or profits for its legal owners or holders, and is maintained as a secret by its legal owners or holders.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PRC Anti-Unfair Competition Law, which was promulgated on September 2, 1993 and was amended on November 4, 2017, April 23,</w:t>
      </w:r>
    </w:p>
    <w:p>
      <w:pPr>
        <w:spacing w:after="0" w:line="27"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18"/>
          <w:szCs w:val="18"/>
          <w:color w:val="auto"/>
        </w:rPr>
        <w:t>2019 and June 27, 2025, respectively, business persons are prohibited from infringing others’ trade secrets by: (1) obtaining the trade secrets from the legal owners or holders by any unfair methods such as theft, bribery, intimidation, solicitation or coercion; (2) disclosing, using or permitting others to use the trade secrets obtained illegally under item (1) above; (3) disclosing, using or permitting others to use the trade secrets in violation of any contractual agreements or any confidentiality obligation or the requirements of the legal owners or holders to keep such trade secrets in confidence; or</w:t>
      </w:r>
    </w:p>
    <w:p>
      <w:pPr>
        <w:spacing w:after="0" w:line="2" w:lineRule="exact"/>
        <w:rPr>
          <w:sz w:val="20"/>
          <w:szCs w:val="20"/>
          <w:color w:val="auto"/>
        </w:rPr>
      </w:pPr>
    </w:p>
    <w:p>
      <w:pPr>
        <w:ind w:left="120" w:right="20" w:hanging="4"/>
        <w:spacing w:after="0" w:line="251"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abetting a person, or tempting, or aiding a person into or in acquiring, disclosing, using, or allowing another person to use the trade secret of the right holder in violation of his or her non-disclosure obligation or the requirements of the right holder for keeping the trade secret confidential. If a third party knows or should have known that an employee or former employee of the right owner of trade secrets or any other entity or individual conducts any of the illegal acts listed above, but still accepts, publishes, uses or allows any other to use such secrets, this practice will be deemed as an infringement of trade secrets. A party whose trade secrets are being misappropriated may petition for administrative corrections, and regulatory authorities may stop any illegal activities and fine infringing parties in the amount of RMB100,000 to RMB1,000,000, and where the circumstance is serious, the fine will be RMB1,000,000 to RMB5,000,000. Alternatively, persons whose trade secrets are being misappropriated may file lawsuits in a Chinese court for loss and damages incurred due to the misappropriation.</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measures to protect trade secrets include oral or written non-disclosure agreements or other reasonable measures to require the employees of, or persons in business contact with, legal owners or holders to keep trade secrets confidential. Once the legal owners or holders have asked others to keep trade secrets confidential and have adopted reasonable protection measures, the requested persons bear the responsibility for keeping the trade secrets confidential.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PRC Trademark Law and its implementation rules protect registered trademarks. The Trademark Office of CNIPA is responsible for the registration and administration of trademarks throughout the PRC. The Trademark Law has adopted a “first-to-file” principle with respect to trademark registration. As of December 31, 2025, we had 618 registered trademarks and seven pending trademark applications in the PRC.</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Copyright Law of the PRC, as amended, copyrights include personal rights such as the right of publication and that of attribution as well as property rights such as the rights of production and distribution. Reproducing, distributing, performing, projecting, broadcasting or compiling a work or communicating the same to the public via an information network without permission from the owner of the copyright therein, unless otherwise provided in the Copyright Law of the PRC, constitutes infringements of copyrights. The infringer must, according to the circumstances of the case, undertake to cease the infringement, take remedial action, and offer an apology or pay damages.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Pursuant to the Computer Software Copyright Protection Regulations promulgated on December 20, 2001 and amended in January 8, 2011 and January 30, 2013, a software copyright owner may complete registration formalities with a software registration authority recognized by the State Council’s copyright administrative department. A software copyright owner may authorize others to exercise that copyright, and is entitled to receive remuneration. As of December 31, 2025, we had 16 software copyrights.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Domain Names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the Internet Domain Names promulgated by the Ministry of Industry and Information Technology. The Ministry of Industry and Information Technology is the main regulatory body responsible for the administration of PRC internet domain names As of December 31, 2025, we had four registered domain names, including our official website.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Data Protection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Basic Standards for Medical Laboratories (for Trial Implementation), as promulgated by the NHFPC in 2016, provides that medical laboratories must establish information management and patient privacy protection policies. The Measures for the Administration of General Population Health Information (for Trial Implementation) as promulgated by the NHFPC in 2014 sets forth the operational measures for patient privacy protection in medical institutions. The measures regulate the collection, use, management, safety and privacy protection of general population health information by medical institutions. Medical institutions must establish information management departments responsible for general population health information and establish quality control procedures and relevant information systems to manage this information. Medical institutions must adopt stringent procedures to verify the general population health data collected, timely update and maintain the data, establish policies on the authorized use of this information, and establish safety protection systems, policies, practice and technical guidance to avoid divulging confidential or private information.</w:t>
      </w:r>
    </w:p>
    <w:p>
      <w:pPr>
        <w:spacing w:after="0" w:line="1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Cybersecurity Law of the PRC promulgated by the Standing Committee of the NPC on November 7, 2016 and taking effect on June 1, 2017, network operators shall comply with laws and administrative regulations and fulfill their obligations to safeguard security of the network when conducting business and providing services. Those who provide services through networks shall take technical measures and other necessary measures in accordance with laws, administrative regulations and the compulsory requirements of national standards to safeguard the safe and stable operation of the networks, respond to network security incidents effectively, prevent illegal and criminal activities, and maintain the integrity, confidentiality and usability of network data. Network operators collecting and using personal information shall abide by the principles of legality, justification and necessity, publish the rules for collection and use, explicitly state the purposes, means and scope of the information collection and use, and obtain the consent of the persons whose data is gathered. The network operator shall not collect the personal information irrelevant to the services it provides or collect or use the personal information in violation of the provisions of laws, administrative regulations or the agreements between both parties.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8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On June 10, 2021, the Standing Committee of the NPC promulgated the Data Security Law of the PRC, or the Data Security Law, which became effective on September 1, 2021. The Data Security Law defines “data” as any recording of information in electronic or other forms, and defines “data processing” as including the collection, storage, use, processing, transmission, provision, disclosure, etc. of data. The Data Security Law requires that data collection shall be conducted in a legitimate and proper manner, and theft or illegal collection of data is not permitted. The PRC government shall establish a data classified and categorized protection system. Data concerning national security, lifelines of the national economy, important aspects of people’s livelihood, and major public interests are core data, and shall be subject to a stricter management system. Data processors shall establish and improve the whole-process data security management rules, organize and implement data security education and trainings, and take appropriate technical measures and other necessary measures to protect data security. In case of data security incidents, responding measures shall be taken immediately, and disclosure to users and report to the competent authorities shall be made in a timely manner.</w:t>
      </w:r>
    </w:p>
    <w:p>
      <w:pPr>
        <w:spacing w:after="0" w:line="18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On August 20, 2021, the Standing Committee of the NPC promulgated the Personal Information Protection Law of the PRC, or the Personal Information Protection Law, which became effective on November 1, 2021. The Personal Information Protection Law sets forth that the personal information of natural persons shall be protected by law, and no organization or individual may infringe upon the personal information rights and interests of natural persons. The processing of personal information shall have clear and reasonable purposes, be directly related to the purposes of processing, and be carried out in a way that has minimal impact on personal rights and interests. The collection of personal information shall be limited to the smallest scope necessary for achieving the purpose of processing, and personal information shall not be collected excessively. Personal information processors shall bear responsibility for their personal information processing activities, and adopt necessary measures to safeguard the security of the personal information they process. Otherwise, the personal information processors may be ordered to make correction or suspend or terminate the provision of services, or be imposed confiscation of illegal income, fines or other penalties.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and 12 other departments jointly promulgated the newly revised Measures for Cybersecurity Review with effect from February 15, 2022, which provides that (i) a critical information infrastructure operator which intends to purchase network products and services shall prejudge the possible risks to national security that may arise after the products and services are put into use and where national security will or may be affected, the operator shall apply with the Cybersecurity Review Office for cybersecurity review, and (ii) a network platform operator that possesses more than one million users’ personal information must apply for cybersecurity review before listing in a foreign country.</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November 14, 2021, the CAC publicly solicited opinions on the Regulations on the Administration of Cyber Data Security (Draft for Comments) which expanded the scope of application of cybersecurity review, established the data classified and categorized protection system, and defined the relevant rules for cross-border security management of data. It provides that data processors carrying out the following activities shall apply for cybersecurity review: (i) merger, reorganization or division of Internet platform operators that gather and possess a large number of data resources having bearing on the national security, economic development or public interests, which affects or may affect national security; (ii) listing in a foreign country of a data processor that processes the personal information of more than one million persons; (iii) listing in Hong Kong of a data processor, which affects or may affect national security; and (iv) other data processing activities that affect or may affect national security. The State Council Promulgated Regulation on Network Data Security Management on September 24, 2024, which became effective on January 1, 2025.</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comply with these laws and regulations, we have required our customers and research partners to consent to, or obtain consent from the tested individuals to, our collection and use of their personal information for our genetic tests. We have also established information security systems to protect tested individuals’ privacy, including data access restrictions and monitoring, data storage, database encryption and backup procedures.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Labor Protection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Labor Law of the PRC, effective on January 1, 1995 and subsequently amended on August 27, 2009 and December 29, 2018, the PRC Employment Contract Law, effective on January 1, 2008 and subsequently amended on December 28, 2012 and the Implementing Regulations of the Employment Contract Law, effective on September 18, 2008, employers must establish a comprehensive management system to protect the rights of their employees, including a system governing occupational health and safety to provide employees with occupational training to prevent occupational injury. Employers are also required to truthfully inform prospective employees of the job description, working conditions, location, occupational hazards and status of safe production as well as remuneration and other conditions as requested by the PRC Employment Contract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Law of Manufacturing Safety of the PRC, effective on November 1, 2002 and amended on August 27, 2009, August 31, 2014 and June 10, 2021, manufacturers must establish a comprehensive management system to ensure manufacturing safety in accordance with applicable laws, regulations, national standards, and industrial standards. Manufacturers not meeting relevant legal requirements are not permitted to commence manufacturing activities.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Administrative Measures Governing the Production Quality of Pharmaceutical Products effective on March 1, 2011, manufacturers of pharmaceutical products must establish production safety and labor protection measures in connection with the operation of their manufacturing equipment and manufacturing process.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Pursuant to applicable PRC laws, rules and regulations, including the Social Insurance Law, which became effective on July 1, 2011 and amended on December 29, 2018, the Interim Regulations on the Collection and Payment of Social Security Funds, which became effective on January 22, 1999 and amended on March 24, 2019, the Interim Measures concerning the Maternity Insurance of Employees, which become effective on January 1, 1995, and the Regulations on Work-related Injury Insurance, which became effective on January 1, 2004 and was subsequently amended on December 20, 2010, employers must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an employer fails to make the overdue contributions within the time limit, the relevant administrative department may impose a fine equivalent to one to three times the overdue amount.</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 Registration of Offshore Investment by PRC Residents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July 2014, SAFE issued SAFE Circular 37 and its implementation guidelines. Pursuant to SAFE Circular 37 and its implementation guidelines, PRC residents (including PRC institutions and individuals) must register with local branches of SAFE in connection with their direct or indirect offshore investment in an overseas special purpose vehicle, or SPV, directly established or indirectly controlled by PRC residents for the purposes of offshore investment and financing with their legally owned assets or interests in domestic enterprises, or their legally owned offshore assets or interests. PRC residents required to make these registrations are also required to amend their registrations with SAFE when there is a change to the basic information of the SPV, such as changes of a PRC resident individual shareholder, the name or operating period of the SPV, or when there is a significant change to the SPV, such as changes of the PRC individual resident’s increase or decrease of its capital contribution in the SPV, or any share transfer or exchange, merger, division of the SPV. In February 2015, SAFE further promulgated the Circular of the State Administration of Foreign Exchange on Further Simplifying and Improving Policies for the Foreign Exchange Administration of Direct Investment, or the SAFE Circular 13, effective June 2015. SAFE Circular 13 amends SAFE Circular 37 by requiring PRC residents or entities to register with qualified banks rather than the SAFE or its local branch in connection with their establishment or control of an offshore entity established for the purpose of overseas investment or financing. Failure to comply with the registration procedures set forth in these regulations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company or PRC residents to penalties under PRC foreign exchange administration regulations.</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Employee Stock Incentive Plan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Plans of Overseas Publicly Listed Companies, or the Stock Option Rules. In accordance with the Stock Option Rules and relevant rules and regulations, PRC citizens or non-PRC citizens residing in China for a continuous period of not less than one year, who participate in any stock incentive plan of an overseas publicly listed company, subject to a few exceptions, must register with SAFE through a domestic qualified agent, which could be a PRC subsidiary of such overseas listed company, and complete certain procedures. We and our employees who are PRC citizens or who reside in China for a continuous period of not less than one year and who participate in our stock incentive plan will be subject to these regulations. In addition, the SAT has issued circulars concerning employee share options or restricted shares. Under these circulars, employees working in the PRC who exercise share options, or whose restricted shares vest, will be subject to PRC individual income tax, or the IIT. The PRC subsidiaries of an overseas listed company have obligations to file documents related to employee share options or restricted shares with relevant tax authorities and to withhold IIT of these employees related to their share options or restricted shares. If the employees fail to pay, or the PRC subsidiaries fail to withhold, their IIT in accordance with relevant laws, rules and regulations, the PRC subsidiaries may face sanctions imposed by the tax authorities or other PRC government authorities.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Dividend 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regulations governing distributions of dividends paid by wholly foreign-owned enterprises include:</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Law of the PRC (1993), as amended in 1999, 2004, 2005, 2013, and 2018;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Investment Law of the PRC;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Rules to the Foreign Investment Law.</w:t>
      </w:r>
    </w:p>
    <w:p>
      <w:pPr>
        <w:spacing w:after="0" w:line="225"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Under these laws and regulations, foreign-invested enterprises in China may pay dividends only out of their accumulated profits, if any, determined in accordance with PRC accounting standards and regulations. In addition, a wholly foreign-owned enterprise in China is required to set aside at least 10% of its after-tax profit (based on PRC accounting standards) each year to its statutory reserve funds until the accumulative amount of such reserves reach 50% of its registered capital. These reserves are not distributable as cash dividends. A foreign-invested enterprise has the discretion to allocate a portion of its after-tax profits to discretionary reserve funds. A PRC company may not distribute any profits until any losses from prior fiscal years have been offset. Profits retained from prior fiscal years may be distributed together with distributable profits from the current fiscal year.</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Renminbi is to be converted into foreign currency and remitted out of China to pay capital expenses, such as the repayment of foreign currency-denominated loans.</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August 2008, SAFE issued the Circular on the Relevant Operating Issues Concerning the Improvement of the Administration of the Payment and Settlement of Foreign Currency Capital of Foreign-Invested Enterprises, or SAFE Circular No. 142, regulating the conversion by a foreign-invested enterprise of foreign currency-registered capital into RMB by restricting how the converted RMB may be used. SAFE Circular No. 142 provides that RMB capital converted from foreign currency registered capital of a foreign-invested enterprise may only be used for purposes within the enterprise’s business scope approved by the applicable government authority and may not be used for equity investments within China. SAFE also strengthened its oversight of the flow and use of Renminbi capital converted from foreign currency registered capital of foreign-invested enterprises. The use of such Renminbi capital may not be changed without SAFE’s approval, and such Renminbi capital may not in any case be used to repay Renminbi loans if the proceeds of such loans have not been used. In March 2015, SAFE issued SAFE Circular No. 19, which took effect and replaced SAFE Circular No. 142 on June 1, 2015. Although SAFE Circular No. 19 allows for the use of Renminbi converted from the foreign currency-denominated capital for equity investments in China, the restrictions continue to apply as to foreign-invested enterprises’ use of the converted Renminbi for purposes beyond the business scope, for entrusted loans or for inter-company Renminbi loans. SAFE promulgated the Notice of the SAFE on Reforming and Standardizing the Foreign Exchange Settlement Management Policy of Capital Account, or Circular 16, effective on June 9, 2016,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or Circular 16 could result in administrative penalties. Circular 16 was revised by SAFE Notice on Further Deepening the Reform to Facilitate Cross-border Trade and Investment on December 04, 2023.</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82"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which substantially amended and simplified foreign exchange procedures. Pursuant to this circular, the opening of various special purpose foreign exchange accounts (e.g., pre-establishment expenses accounts, foreign exchange capital accounts and guarantee accounts), the reinvestment of lawful incomes derived by foreign investors in China (e.g.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previously permitted. The Circular of Further Improving and Adjusting Foreign Exchange Administration Policies on Foreign Direct Investment was revised on May 4, 2015 and on October 10, 2018, and partially repealed on December 20, 2019. In addition, SAFE promulgated the Circular on Printing and Distributing the Provisions on Foreign Exchange Administration over Domestic Direct Investment by Foreign Investors and the Supporting Documents in May 2013, which was amended in October 2018 and was partially repealed on December 20, 2019, which specifies that the administration by SAFE or its local branches over direct investment by foreign investors in the PRC shall be conducted by way of registration and banks shall process foreign exchange business relating to the direct investment in China based on the registration information provided by SAFE and its branches.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SAFE Circular No.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Enterprise Income Tax</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EIT Law effective as of January 2008 and as last amended in December 2018, the income tax rate for both domestic and foreign-invested enterprises is 25% with certain exceptions. To clarify certain provisions in the EIT Law, the State Council promulgated the Implementation Rules of the EIT Law in December 2007, which became effective in January 2008 and as amended in April 2019 and in December 2024. Under the EIT Law and the Implementation Rules of the EIT Law, enterprises are classified as either “resident enterprises” or “non-resident enterprises.” Besides enterprises established within the PRC, enterprises established outside of China whose “de facto management bodies” are located in China are considered “resident enterprises” and are subject to the uniform 25% enterprise income tax rate for their global income. In addition, the EIT Law provides that a non-resident enterprise refers to an entity established under foreign law whose “de facto management body” is not within the PRC, but has an establishment or place of business in the PRC, or does not have an establishment or place of business in the PRC but has income sourced within the PRC.</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Implementation Rules of the EIT Law provide that since January 2008, an income tax rate of 10% will normally be applicable to dividends declared to non-PRC resident enterprise investors that do not have an establishment or place of business in the PRC, or have such establishment or place of business but the relevant income is not effectively connected with the establishment or place of business, to the extent such dividends are derived from sources within the PRC. The income tax on dividends may be reduced pursuant to a tax treaty between China and the jurisdictions in which the non-PRC shareholders reside.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PRC National- and Provincial-Level Laws and Regulations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changing regulations under many other laws and regulations administered by governmental authorities at the national, provincial and municipal levels, some of which are or may become applicable to our business. These laws and regulations governing both the disclosure and the use of confidential patient medical information may become more restrictive.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82"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also comply with numerous additional national and provincial laws relating to matters such as safe working conditions, manufacturing practices, environmental protection and fire hazard control in all material aspects. We believe that we are currently in compliance with these laws and regulations; however, we may be required to incur significant costs to comply with these laws and regulations in the future. Unanticipated changes in existing regulatory requirements or adoption of new requirements could therefore have a material adverse effect on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 below sets forth our corporate structure and identifies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5846445" cy="25977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6445" cy="259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right="280" w:hanging="424"/>
        <w:spacing w:after="0" w:line="254"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Burning Rock (Beijing) Biotechnology Co., Ltd., the VIE, include (i) Mr. Yusheng Han, our founder, chairman of the board of directors and chief executive officer, who holds 72.7% of the equity interests in the VIE, (ii) Mr. Gang Chen, an affiliate of a former principal shareholder of our Company, who holds 8.8% of the equity interests in the VIE, (iii) Mr. Gang Lu, our director, who holds 7.1% of the equity interests in the VIE, (iv) five minority shareholders, who in aggregate hold 11.4% of the equity interests in the VIE, including Dr. Shaokun (Shannon) Chuai, our former chief scientific officer.</w:t>
      </w:r>
    </w:p>
    <w:p>
      <w:pPr>
        <w:spacing w:after="0" w:line="3"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2024, BR Hong Kong Limited transferred 100% of its equity shares in Beijing Burning Rock Biotech Limited to Guangzhou Burning Rock Biotech Limited. On April 10, 2024, BR Hong Kong Limited, as the sole shareholder of Guangzhou Burning Rock Biotech, increased the capital of Guangzhou Burning Rock Biotech Limited from US$10,000,000 to US$16,000,000. As a result, on May 10, 2024, Guangzhou Burning Rock Biotech Limited replaced Beijing Burning Rock Biotech Limited and became our WFOE after entering into a series of supplemental agreements to the original contractual arrangements with relevant parties.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Investment in China by foreign investors is subject to certain restriction under PRC laws and regulations, in particular, the Catalog of Industries for Encouraging Foreign Investment, and the Special Administrative Measures for Access of Foreign Investment (2024 Edition), or the Negative List. Industries not listed in the Negative List are generally permitted and open to foreign investment, unless specifically prohibited or restricted by the PRC laws and regulations. While foreign investors are given access to the medical device industry according to Negative list, foreign ownership is prohibited in businesses involving the development and application of genomic diagnosis and treatment technology. We are a company incorporated in the Cayman Islands, and, as a result, our subsidiaries in China are considered foreign-owned enterprises. To comply with the PRC laws and regulations described above, we primarily conduct our business in China through the VIE and its subsidiaries in China, based on a series of contractual arrangements among the VIE, its shareholders and our WFOE. On May 10, 2024, Guangzhou Burning Rock Biotech Limited replaced Beijing Burning Rock Biotech Limited and became our WFOE after entering into a series of supplemental agreements to the original contractual arrangements with relevant parties.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82"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the VIE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 Business Cooperation Agreement</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Pursuant to the exclusive business cooperation agreement, last amended on May 10, 2024, the WFOE or its designated party has the exclusive right to provide the VIE with business support, technology service, consulting service and other services. In exchange for these services, the VIE will pay a service fee, equal to the VIE’s profit before tax, after recovering any accumulated losses of the VIE and its subsidiaries from the preceding fiscal year, and deducting working capital, expenses, tax and a reasonable amount of operating profit according to applicable tax law principles and tax practice. Without the prior written consent of the WFOE, the VIE may not accept any services covered by this agreement from any third party, and may not cooperate with any third party in respect of the same. The WFOE will exclusively own the proprietary rights, ownership, interests and intellectual property rights produced or created in connection with the performance of this agreement. Unless terminated by the WFOE, this agreement will remain effective for ten years. The WFOE may at its sole discretion unilaterally extend the term of this agreement prior to its expiration upon notice to the VIE.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that Provides Us with Options to Purchase the Equity Interests in and Assets of the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VIE Exclusive Option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exclusive option agreement, last amended on May 10, 2024, the shareholders of the VIE have irrevocably and unconditionally granted the WFOE or its designated party an exclusive option, where permitted by the PRC law, to purchase all or any portion of their respective equity interests in the VIE. The purchase price for any equity interest upon exercise of this option will be calculated as then registered capital of the VIE multiplied by the percentage of such equity interest in proportion to the total equity of the VIE. However, if applicable PRC law contains compulsory requirement regarding transfer of equity interest, the WFOE or any third party designated by the WFOE is entitled to pay the lowest price permitted by the PRC law as purchase price. In addition, pursuant to this agreement, the VIE has irrevocably and unconditionally granted the WFOE or its designated party an exclusive option, where permitted by applicable PRC law, to purchase all or any portion of its assets. The purchase price upon exercise of this option will be the higher of (i) the net book value of the assets to be purchased or (ii) the lowest price permitted by applicable PRC law.</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Without the prior written consent of the WFOE, the shareholders of the VIE may not, in any manner, supplement, modify or amend the articles of associations and by-laws of the VIE; increase or reduce its registered capital or change the structure of registered capital in other manners; sell, transfer, pledge or dispose of its assets, legal or beneficial interests in business or revenue or allow any encumbrance on the same; assume, inherit, guarantee any debt, or allow the existence of any debt, except for debts incurred in the ordinary course of business and debts known and agreed in writing by the WFOE; cause the VIE to enter into any material contract outside the ordinary course of business; cause the VIE to provide loans, credits or guarantees in any form to any other persons; cause or permit the VIE to merge, consolidate with, acquire or invest in any other persons, or acquired or invested by any other persons; cause the VIE to liquidate, dissolve or de-registrate; request the VIE to distribute dividends to its shareholders, or propose or vote in favor of any shareholders’ resolution for such distribution of dividends. This agreement will remain effective until all equity interests in the VIE held by its shareholders has been transferred to the WFOE or its designated party in accordance with provisions of this agreement. The WFOE may at its sole discretion unilaterally terminate this agreement prior to its expiration upon notice to the VIE.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the VIE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Interest Pledge Agreement</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Pursuant to the equity interest pledge agreement, last amended on May 10, 2024, each shareholder of the VIE has pledged all of its respective equity interests in the VIE to the WFOE to guarantee the performance of the VIE and its shareholders of their respective obligations under the exclusive business cooperation agreement, the exclusive option agreement, the agreement for power of attorney as well as their respective liabilities arising from any breach of any obligation thereunder. If the VIE or any of its shareholders breaches any obligation under these agreements, the WFOE, as pledgee, may dispose of the pledged equity interest and have priority to be compensated by the proceeds from the disposal of such equity. Each of the shareholders of the VIE agrees that before its obligations under these agreements are discharged and the amounts payable under these agreements are fully paid, it will not dispose of the pledged equity interest, create or allow any encumbrance on the pledged equity interest without the prior written consent of the WFOE. The equity interest pledge agreement will remain effective until the VIE and its shareholders have discharged all their obligations and fully paid all the amounts payable under these agreements. We completed the registration of the pledge of equity interest with the relevant office of the State Administration for Market Regulation on November 25, 2019 in accordance with applicable PRC law and regulations.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for Power of Attorney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agreement for power of attorney, last amended on May 10, 2024, each shareholder of the VIE irrevocably authorizes the WFOE or its designated person to act as the attorney-in-fact to exercise all such shareholder’s voting and other rights associated with the shareholder’s equity interests in the VIE, such as the right to appoint or remove directors, supervisors and officers, as well as the right to sell, transfer, pledge or dispose of all or any portion of the equity interests held by such shareholder, or of the assets held by the VIE. The parties have agreed that the WFOE is entitled to unilaterally amend, modify or supplement this agreement for power of attorney and the other parties will cooperate where there is a request in respect of the same by the WFOE. This agreement for power of attorney will remain effective until it is terminated by the WFOE.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Spousal Consent Letters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spouse of each individual shareholder of the VIE signed a spousal consent letter on October 21, 2019 and May 10, 2024, as the case may be. Under these letters, each signing spouse has agreed that he or she is aware of the equity interests beneficially owned by his or her spouse in the VIE and the relevant contractual arrangements in connection with such equity interests. Each signing spouse has unconditionally and irrevocably confirmed that he or she does not have any equity interest in the VIE and will not take any action that may interfere with the contractual arrangement including any claims in respect of the equity interests held by his or her spouse. Each signing spouse has further confirmed that in any event he or she is conferred with any equity interest, he or she is willing to be bound by the relevant contractual arrangements unconditionally as if being a party thereof, and undertakes to take all necessary measures for the performance of those arrangements.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Support Undertaking Letter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financial support undertaking letter addressed to the VIE, dated October 21, 2019, we undertake to provide unlimited financial support to the VIE to the extent permissible under the applicable PRC laws and regulations, regardless of whether the VIE has incurred an operational loss. The form of financial support includes but is not limited to cash, entrusted loans and borrowings. We will not request repayment of any outstanding loans or borrowings from the VIE if it or its shareholders do not have sufficient funds or are unable to repay such loans or borrowings. The letter is effective until the earlier of (i) the date on which all of the equity interests of the VIE have been acquired by us or our designee, and (ii) the date on which we, in our sole and absolute discretion, unilaterally terminates the applicable financial support undertaking letter.</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Proxy Agreement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voting proxy agreement entered into between our company and our WFOE, our WFOE irrevocably and unconditionally undertakes to exercise its rights under the agreement for power of attorney, last amended on May 10, 2024, by and among our WFOE, the VIE and its then exiting shareholders, in accordance with our company’s instruction.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opinion of Shihui Partners, our PRC counsel:</w:t>
      </w:r>
    </w:p>
    <w:p>
      <w:pPr>
        <w:spacing w:after="0" w:line="131" w:lineRule="exact"/>
        <w:rPr>
          <w:sz w:val="20"/>
          <w:szCs w:val="20"/>
          <w:color w:val="auto"/>
        </w:rPr>
      </w:pPr>
    </w:p>
    <w:p>
      <w:pPr>
        <w:ind w:left="1080" w:right="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 of the VIE and our WFOE in China currently does not violate any applicable PRC laws or regulations currently in effect;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our WFOE, VIE and the shareholders of the VIE governed by PRC law are valid, binding and enforceable in accordance with their terms and applicable PRC laws or regulations currently in effect and currently do not and will not violate any applicable PRC laws or regulations currently in effect.</w:t>
      </w:r>
    </w:p>
    <w:p>
      <w:pPr>
        <w:spacing w:after="0" w:line="176"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See “Item 3. Key Information—D. Risk Factors—Risks Relating to Our Corporate Structure—If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 and “Item</w:t>
      </w:r>
    </w:p>
    <w:p>
      <w:pPr>
        <w:spacing w:after="0" w:line="3" w:lineRule="exact"/>
        <w:rPr>
          <w:sz w:val="20"/>
          <w:szCs w:val="20"/>
          <w:color w:val="auto"/>
        </w:rPr>
      </w:pPr>
    </w:p>
    <w:p>
      <w:pPr>
        <w:ind w:left="120" w:right="740" w:hanging="4"/>
        <w:spacing w:after="0" w:line="260"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Relating to Doing Business in the PRC—There are uncertainties regarding the interpretation and enforcement of PRC laws, rules and regulations.” for more details.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corporate headquarters, central laboratory and manufacturing facilities are primarily located in Guangzhou, China. We also have a research and development center in Shanghai and offices in Beijing. These facilitates have an aggregate of over 20,000 square meters. We currently lease all of our facilities. We believe that we will be able to obtain adequate facilities, principally through leasing, to accommodate our future expansion.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4A. UNSOLVED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right="4940" w:firstLine="440"/>
        <w:spacing w:after="0" w:line="378" w:lineRule="auto"/>
        <w:rPr>
          <w:sz w:val="20"/>
          <w:szCs w:val="20"/>
          <w:color w:val="auto"/>
        </w:rPr>
      </w:pPr>
      <w:r>
        <w:rPr>
          <w:rFonts w:ascii="Times New Roman" w:cs="Times New Roman" w:eastAsia="Times New Roman" w:hAnsi="Times New Roman"/>
          <w:sz w:val="18"/>
          <w:szCs w:val="18"/>
          <w:b w:val="1"/>
          <w:bCs w:val="1"/>
          <w:color w:val="auto"/>
        </w:rPr>
        <w:t>ITEM 5. OPERATING AND FINANCIAL REVIEW AND PROSPECTS A. Operating Results</w:t>
      </w: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aim to transform precision oncology and early cancer detection. We are China’s leading NGS-based cancer therapy selection company. Our cancer therapy selection platform is built upon our advanced proprietary technologies, comprehensive portfolio of products and a two-pronged market-driven commercial infrastructure addressing both larger hospitals through our in-hospital model and smaller hospitals through our central laboratory model.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primarily offer cancer therapy selection tests under our central laboratory model, where our central laboratory processes cancer patients’ tissue and liquid biopsy samples delivered to us from hospitals across China and issues test reports. In 2023, 2024 and 2025, revenue from sale of cancer therapy selection tests under our central laboratory model contributed 43.3%, 34.1% and 29.7% of our total revenues, respectively.</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2016, we became China’s first NGS-based cancer therapy selection company to offer an in-hospital model, providing turn-key solutions to address Chinese hospitals’ challenges in adopting NGS-based cancer therapy selection. Under this model, we have partnered with 94 hospitals to establish in-hospital laboratories, enabling our partner hospitals to perform NGS-based cancer therapy selection on their own using our reagent kits. In 2023, 2024 and 2025, revenue from fees we received for facilitating the hospitals’ purchases of laboratory equipment and sales of reagent kits and laboratory equipment under the in-hospital model contributed 35.1%, 43.5% and 41.5% of our total revenues, respectively.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also generate a portion of revenue from pharma research and development services we provide to pharmaceutical companies and hospitals, which contributed 21.6%, 22.4% and 28.8% of our total revenues in 2023, 2024 and 2025, respectively.</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revenues underwent a 4.0% decline from RMB537.4 million in 2023 to RMB515.8 million in 2024 and further increase by 4.6% to RMB539.6 million (US$77.2 million) in 2025. Our gross profit slightly decreased by 0.2% from RMB363.2 million 2023 to RMB362.4 million in 2024 and further increase by 11.2% to RMB402.9 million (US$57.6 million) in 2025. Our gross profit margin was 67.6%, 70.3% and 74.7% in 2023, 2024 and 2025, respectively. We incurred net loss of RMB653.7 million, RMB346.6 million and RMB55.3 million (US$7.9 million) in 2023, 2024 and 2025,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continue to impact our operating performance and results of operations, including:</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our cancer therapy selection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volume and hospital coverage under our central laboratory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our in-hospital model;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early cancer detection products.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82"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Adoption of Our Cancer Therapy Selection Products and Services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revenues from the sale of our therapy selection tests. We expect our continued growth and business prospects to depend significantly on our ability to increase market adoption of our cancer therapy selection tests, as well as our ability to increase physician and patient awareness of cancer therapy selection in China in general. Although China’s cancer genotyping industry is expected to continue to grow rapidly, cancer therapy selection companies like us face challenges in raising awareness and adoption of their products and services by physicians, patients, hospitals and others in China’s medical community. Among these challenges are that cancer therapy selection tests can be prohibitively expensive and the interpretation of testing results can be time consuming and require knowledge and skills that are not yet widely available in China. We have approached these challenges by building and continually advancing a robust technology platform that we believe will allow us to address many of these challenges.</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To increase the market awareness and adoption of our cancer therapy selection tests, we conduct marketing activities to educate hospitals, physicians and pharmaceutical companies on the benefits of our cancer therapy selection products and services. We also participate in research studies and clinical trials in cooperation with oncology key opinion leaders and pharmaceutical companies that validate our cancer therapy selection tests and technologies.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Testing Volume and Hospital Coverage under Our Central Laboratory Model</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Our revenues and results of operations are primarily dependent on testing volume and hospital coverage under our central laboratory model. In 2023, 2024 and 2025, revenue from sale of cancer therapy selection tests under our central laboratory model contributed 43.3%, 34.1% and 29.7% of our total revenues, respectively. We expect the central laboratory model to continue to contribute a meaningful portion of our revenues going forward. As such, our results of operations are affected, and will continue to be affected, by the volume of testing and hospital coverage under our central laboratory model. To generate sufficient volumes of demand for our central laboratory business, we will need to maintain and continue to develop relationships with hospitals and physicians. We may need to hire additional sales and marketing staff to support our growth.</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Success of Our In-hospital Model</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Since 2016, we have been actively expanding our cancer therapy selection business under the in-hospital model, where we offer Chinese hospitals a turn-key solution that allows them to perform cancer therapy selection tests using our products in in-hospital laboratories that we help them establish.</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in-hospital segment is expected to become an increasingly important segment of China’s NGS-based cancer therapy selection market.</w:t>
      </w:r>
    </w:p>
    <w:p>
      <w:pPr>
        <w:spacing w:after="0" w:line="18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Although there are substantial challenges in getting hospitals to adopt the in-hospital model, once the in-hospital laboratories, equipment and systems are in place, we sell them our reagent kits on a recurring basis, creating high barrier to entry and high customer loyalty.</w:t>
      </w:r>
    </w:p>
    <w:p>
      <w:pPr>
        <w:spacing w:after="0" w:line="13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Despite the large and rapidly growing demand and higher customer loyalty, establishing in-hospital laboratories usually involves long ramp-up periods—from laboratory design, tender, laboratory equipment sourcing and system installation to ongoing training and support. Accordingly, our in-hospital model requires significant upfront investment, which in turn may affect our short-term results of operations. In addition, revenue from this model depends on our partner hospitals’ clinical needs and budgets for cancer therapy selection products and services, which are beyond our control.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Develop Early Cancer Detection Products</w:t>
      </w:r>
    </w:p>
    <w:p>
      <w:pPr>
        <w:spacing w:after="0" w:line="121" w:lineRule="exact"/>
        <w:rPr>
          <w:sz w:val="20"/>
          <w:szCs w:val="20"/>
          <w:color w:val="auto"/>
        </w:rPr>
      </w:pPr>
    </w:p>
    <w:p>
      <w:pPr>
        <w:ind w:left="120" w:right="500" w:firstLine="440"/>
        <w:spacing w:after="0" w:line="289" w:lineRule="auto"/>
        <w:rPr>
          <w:sz w:val="20"/>
          <w:szCs w:val="20"/>
          <w:color w:val="auto"/>
        </w:rPr>
      </w:pPr>
      <w:r>
        <w:rPr>
          <w:rFonts w:ascii="Times New Roman" w:cs="Times New Roman" w:eastAsia="Times New Roman" w:hAnsi="Times New Roman"/>
          <w:sz w:val="17"/>
          <w:szCs w:val="17"/>
          <w:color w:val="auto"/>
        </w:rPr>
        <w:t>Investing in the research and development of new products is critical to our long-term competitiveness. In 2016, we started our research and development on the use of targeted DNA methylation in early cancer detection. Developing early cancer detection product candidates requires a significant investment of resources over a prolonged period of time, and we expect to continue to make sustained investment in this area.</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revenues consist of revenues from services and revenues from sales of products, and are derived from three sources: (i) central laboratory business; (ii) in-hospital business; and (iii) pharma research and development services. The table below sets forth a breakdown of our revenues in absolute amount and as a percentage of our total revenues for the periods indicated: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5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Central laboratory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Pharma research</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In-hospital business</w:t>
            </w:r>
          </w:p>
        </w:tc>
        <w:tc>
          <w:tcPr>
            <w:tcW w:w="152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and development</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5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40" w:type="dxa"/>
            <w:vAlign w:val="bottom"/>
            <w:gridSpan w:val="4"/>
            <w:vMerge w:val="continue"/>
          </w:tcPr>
          <w:p>
            <w:pPr>
              <w:spacing w:after="0"/>
              <w:rPr>
                <w:sz w:val="15"/>
                <w:szCs w:val="15"/>
                <w:color w:val="auto"/>
              </w:rPr>
            </w:pPr>
          </w:p>
        </w:tc>
        <w:tc>
          <w:tcPr>
            <w:tcW w:w="15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vMerge w:val="continue"/>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vMerge w:val="continue"/>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vMerge w:val="continue"/>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 except for%)</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232,812</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43.3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115,922</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345,030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40" w:type="dxa"/>
            <w:vAlign w:val="bottom"/>
          </w:tcPr>
          <w:p>
            <w:pPr>
              <w:jc w:val="center"/>
              <w:ind w:left="16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192,405</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192,405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43.3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188,701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115,922</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537,435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5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Central laboratory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Pharma research</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In-hospital business</w:t>
            </w:r>
          </w:p>
        </w:tc>
        <w:tc>
          <w:tcPr>
            <w:tcW w:w="152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and development</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5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40" w:type="dxa"/>
            <w:vAlign w:val="bottom"/>
            <w:gridSpan w:val="4"/>
            <w:vMerge w:val="continue"/>
          </w:tcPr>
          <w:p>
            <w:pPr>
              <w:spacing w:after="0"/>
              <w:rPr>
                <w:sz w:val="15"/>
                <w:szCs w:val="15"/>
                <w:color w:val="auto"/>
              </w:rPr>
            </w:pPr>
          </w:p>
        </w:tc>
        <w:tc>
          <w:tcPr>
            <w:tcW w:w="15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vMerge w:val="continue"/>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vMerge w:val="continue"/>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vMerge w:val="continue"/>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(in thousands, except for %)</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175,649</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115,681</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290,738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40" w:type="dxa"/>
            <w:vAlign w:val="bottom"/>
          </w:tcPr>
          <w:p>
            <w:pPr>
              <w:jc w:val="center"/>
              <w:ind w:left="16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225,084</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225,084</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224,492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115,681</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515,822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220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Central laboratory</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7"/>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Pharma research and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0" w:type="dxa"/>
            <w:vAlign w:val="bottom"/>
            <w:gridSpan w:val="7"/>
            <w:vMerge w:val="continue"/>
          </w:tcPr>
          <w:p>
            <w:pPr>
              <w:spacing w:after="0"/>
              <w:rPr>
                <w:sz w:val="12"/>
                <w:szCs w:val="12"/>
                <w:color w:val="auto"/>
              </w:rPr>
            </w:pPr>
          </w:p>
        </w:tc>
        <w:tc>
          <w:tcPr>
            <w:tcW w:w="2200" w:type="dxa"/>
            <w:vAlign w:val="bottom"/>
            <w:gridSpan w:val="6"/>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In-hospital business</w:t>
            </w:r>
          </w:p>
        </w:tc>
        <w:tc>
          <w:tcPr>
            <w:tcW w:w="1500" w:type="dxa"/>
            <w:vAlign w:val="bottom"/>
            <w:gridSpan w:val="5"/>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vMerge w:val="continue"/>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 except for %)</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159,993</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22,878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155,540</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22,242</w:t>
            </w:r>
          </w:p>
        </w:tc>
        <w:tc>
          <w:tcPr>
            <w:tcW w:w="7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8"/>
                <w:szCs w:val="18"/>
                <w:color w:val="auto"/>
              </w:rPr>
              <w:t>28.8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316,111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45,203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Revenues from sales of</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223,457</w:t>
            </w:r>
          </w:p>
        </w:tc>
        <w:tc>
          <w:tcPr>
            <w:tcW w:w="14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14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6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223,457</w:t>
            </w:r>
          </w:p>
        </w:tc>
        <w:tc>
          <w:tcPr>
            <w:tcW w:w="14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14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159,993</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22,878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224,035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32,037</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155,540</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22,242</w:t>
            </w:r>
          </w:p>
        </w:tc>
        <w:tc>
          <w:tcPr>
            <w:tcW w:w="7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8"/>
                <w:szCs w:val="18"/>
                <w:color w:val="auto"/>
              </w:rPr>
              <w:t>28.8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539,568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77,157</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Central laboratory business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Central laboratory business revenue is generated from sales of our cancer therapy selection tests to individual patients. Patients pay us for these tests with out-of-pocket payments after their physicians have ordered our tests. We recognize revenues upon the delivery of test reports to the individual patients.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In-hospital business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our in-hospital business, we (i) in some instances facilitate the hospitals’ procurement of laboratory equipment required to set up their in-hospital laboratories, for which we charge a fee, and (ii) sell our reagent kits to hospitals for them to perform cancer therapy selection testing in the in-hospital laboratories we helped them establish. Revenues from fees we receive for facilitating laboratory equipment purchases are recorded on a net basis when we have completed our facilitation services. Revenue from reagent kit sales are recorded on a gross basis when the reagent kits are delivered to hospitals.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Pharma research and development services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pharmaceutical research and development services to international and domestic pharmaceutical companies primarily in relation to the development of targeted therapies and immunotherapies for various types of cancer, and to hospitals for their studies on cancer diagnosis and treatment. We also provide companion diagnostics development service to pharmaceutical companies.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cost of revenues consists of cost of services and cost of goods sold and are incurred from three sources: (i) the cost of revenues for our central laboratory business, which primarily includes cost of laboratory consumables used in cancer therapy selection testing, the manufacturing cost of our reagent kits, personnel cost and depreciation and amortization, (ii) the cost of revenues for our in-hospital business, which primarily includes the cost of materials, manufacturing costs of our reagent kits and personnel cost, and (iii) the cost of revenues for pharma research and development services, which primarily includes costs of laboratory consumables used in pharma research and development services. The following table sets forth a breakdown of our cost of revenues for the periods indicated.</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6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business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49,473</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33,808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22,417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business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72,570</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65,099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57,337</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2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56,900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136,654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operating expenses include research and development expenses, selling and marketing expenses and general and administrative expenses. The following table sets forth a breakdown of these expenses for the periods indicated.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78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880" w:type="dxa"/>
            <w:vAlign w:val="bottom"/>
            <w:gridSpan w:val="2"/>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6680" w:type="dxa"/>
            <w:vAlign w:val="bottom"/>
          </w:tcPr>
          <w:p>
            <w:pPr>
              <w:spacing w:after="0"/>
              <w:rPr>
                <w:sz w:val="10"/>
                <w:szCs w:val="10"/>
                <w:color w:val="auto"/>
              </w:rPr>
            </w:pPr>
          </w:p>
        </w:tc>
        <w:tc>
          <w:tcPr>
            <w:tcW w:w="780" w:type="dxa"/>
            <w:vAlign w:val="bottom"/>
            <w:tcBorders>
              <w:top w:val="single" w:sz="8" w:color="auto"/>
            </w:tcBorders>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6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347,016</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232,290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166,494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23,808</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247,711</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190,904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165,175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23,620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437,821</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261,638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126,090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18,031</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35,127</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719,959</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457,759</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65,459</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(i) expenses incurred for clinical and non-clinical activities performed by third-party contract research organizations, and (ii) salaries and benefits for research and development personnel and the cost of materials for our research and development projects and products. We expect that our research and development expenses will increase as we continue to invest in the research and development of our early cancer detection and cancer therapy selection products and technologies.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primarily consist of staff costs for personnel engaged in sales and marketing functions, travel and entertainment expenses and conference expenses. Base salary of our sales and marketing personnel represents a very significant portion of staff costs, with the remainder being performance-based bonuses for these personnel. We expect that our selling and marketing expenses will increase as we continue to expand our sales and marketing teams and engage in sales and marketing activities to increase the adoption and market awareness of our products.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staff costs for personnel engaged in general and administrative functions, professional service fees, depreciation and amortization and travel and office expenses. We expect our general and administrative expenses to continue increasing to support our business growth, but we expect that they will eventually decrease as a percentage of our revenues as we achieve increased economies of scale.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Due to the continuing operating losses and cash outflows, we performed impairment test on long-lived assets and recognized an impairment loss of RMB35.1 million for the year ended December 31, 2024. We did not record such impairment loss for the year ended December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The Cayman Islands currently levies no taxes on individuals or corporations based upon profits, income, gains or appreciation, and there is currently no estate duty, inheritance tax or gift tax. There are no other taxes likely to be material to us levied by the government of the Cayman Islands except for stamp duties that may be applicable on instruments executed in, or after execution brought within, the jurisdiction of the Cayman Islands. In addition, the Cayman Islands does not impose withholding tax on dividend payments.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Before April 1, 2018, our subsidiary incorporated in Hong Kong was subject to Hong Kong profit tax at a rate of 16.5%. Since April 1, 2018, our subsidiary incorporated in Hong Kong has been subject to Hong Kong profit tax at a rate of 8.25% on assessable profits up to HK$2,000,000 and 16.5% on any part of assessable profits over HK$2,000,000. Hong Kong has an anti-fragmentation measure under which a corporate group must nominate only one company in the group to benefit from the progressive rates. No Hong Kong profit tax has been levied on us as we did not have assessable profit that was earned in or derived from our Hong Kong subsidiary in 2023, 2024 or 2025. Hong Kong does not impose a withholding tax on dividends.</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our operations in the PRC, we are subject to a general PRC enterprise income tax rate of 25%. Guangzhou Burning Rock Dx Co., Ltd., a subsidiary of the VIE, has been qualified as a high and new technology enterprise, or HNTE, since November 2016, and accordingly is entitled to a reduced income tax rate of 15%. Burning Rock Biotechnology (Shanghai) Co. Ltd has been recognized as a qualified HNTE under the EIT Law by the relevant government authorities in December 2024 and is subject to a preferential rate of 15% for three years from 2024 to 2026.</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subsidiaries in China to our intermediary holding company in Hong Kong will be subject to a withholding tax rate of 10%, unless they qualify for an exemption. If our intermediary holding company in Hong Kong satisfies all the requirements under the Arrangement between the Mainland of China and the Hong Kong Special Administrative Region for the Avoidance of Double Taxation and the Prevention of Fiscal Evasion with Respect to Taxes on Income and receives approval from the relevant tax authority, then dividends paid to it by our wholly foreign-owned subsidiaries in China will be subject to a withholding tax rate of 5% instead. Effective from November 1, 2015, the above-mentioned approval requirement has been abolished, but a Hong Kong entity is still required to file an application package with the relevant tax authority, and settle the overdue taxes if the preferential 5% tax rate is denied based on the subsequent review of the application package by the relevant tax authority.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82"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is deemed to be a “resident enterprise” under the PRC Enterprise Income Tax Law, it will be subject to enterprise income tax on its worldwide income at a rate of 25%.</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applicable PRC laws and regulations, arrangements and transactions among related parties may be subject to audit or challenge by the PRC tax authorities. We may be subject to adverse tax consequences and our consolidated results of operations may be adversely affected if the PRC tax authorities determine that the contractual arrangements among our PRC subsidiaries and their shareholders are not on an arm’s length basis and constitute favorable transfer pricing.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Polices, Judgments and Estimates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financial statements in conformity with U.S. GAAP requires management to make estimates and assumptions that affect the reported amounts of assets and liabilities, disclosure of contingent assets and liabilities at the balance sheet dates and the reported amounts of revenues and expenses during the reporting periods. Our accounting policies are more fully described in Note 2 of the consolidated financial statements.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base our estimates on historical experience and various other assumptions that are believed to be reasonable, the results of which form the basis for making judgments about the carrying values of assets and liabilities. Actual results could materially differ from those estimates. We believe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80"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The following descriptions of critical accounting policies, judgments and estimates should be read in conjunction with our consolidated financial statements and accompanying notes and other disclosures included in this annual report. When reviewing our financial statements, you should consider</w:t>
      </w:r>
    </w:p>
    <w:p>
      <w:pPr>
        <w:spacing w:after="0" w:line="1" w:lineRule="exact"/>
        <w:rPr>
          <w:sz w:val="20"/>
          <w:szCs w:val="20"/>
          <w:color w:val="auto"/>
        </w:rPr>
      </w:pPr>
    </w:p>
    <w:p>
      <w:pPr>
        <w:ind w:left="120" w:right="720" w:hanging="4"/>
        <w:spacing w:after="0" w:line="260"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 (ii) the judgments and other uncertainties affecting the application of these policies and (iii) the sensitivity of reported results to changes in conditions and assumptions.</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derive revenue from our central laboratory business, in-hospital business and pharma research and development services. We recognize revenue to depict the transfer of promised products or services to customers in an amount that reflects the consideration to which the entity expects to be entitled in exchange for those products or services. For businesses that enter primarily short-term contracts, we apply the practical expedient which allows costs to obtain a contract to be expensed when incurred if the amortization period of the assets that would otherwise have been recognized is one year or less.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 from central laboratory business</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Revenue from central laboratory business is primarily generated through the sales of our cancer therapy selection test to individual patient customers. Individual patients prepay the consideration in full, and the transaction price for each contract is fixed at contract inception.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Patients can choose to purchase a single cancer therapy selection test, as a package which consists of multiple cancer therapy selection tests of the same type or a combination of different types of cancer therapy selection tests. Each cancer therapy selection test represents a single performance obligation. Revenue is allocated to each performance obligation based on the relative standalone selling price method. We record revenue at a point in time when each cancer therapy selection testing report is delivered to the patient.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launched cancer therapy selection testing packages (“Monitoring Packages”) in 2017. Each monitoring package contains a fixed number of the same type cancer therapy selection tests which can be used up to two years from purchase date. The portion of the cancer therapy selection tests within the Monitoring Packages, which are not expected to be used by the patient prior to expiration based on historical usage rates, are referred to as a “breakage.” We recognize the expected breakage amount as revenue in proportion to the total number of tests expected to be performed for patients prior to the expiration date. If we are not expected to be entitled to a breakage amount due to the lack of historical experience, the expected breakage amount is recognized as revenue at the end of the two-year period when the monitoring package expires. We evaluate our breakage estimates periodically based upon our historical experience with each type of Monitoring Packages recent usage pattern prior to the expiration period. The historical usage rates may not be reflective of the actual usage rates due to changes in patient behavior and medical advancements. The determination of whether we have accumulated sufficient historical experience to determine breakage amount and changes in the actual patients’ usage rates may significantly impact the amount of breakage revenue recognized for the period. We recognized breakage income of RMB10.9 million, RMB7.7 million and RMB7.9 million (US$1.1 million) for the years ended December 31, 2023, 2024 and 2025, respectively.</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 from in-hospital business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Revenue from in-hospital business is primarily generated through reagent kit sales and providing facilitation services for laboratory equipment sold to hospitals. We manufacture the reagent kits and sell to the hospitals when the hospitals submit a purchase order. Each reagent kit represents a single performance obligation. We do not provide rights of return for the reagent kits sold other than returns of defective products. Returns for defective products were not material for the periods presented. The contracts with hospital customers from reagent kit sales of in-hospital business often contain bundles of reagent kits to customers. Each kit represents a single performance obligation. We allocate the transaction price to each kit on a relative standalone selling price basis using the expected cost plus a margin method. We recognize revenue on the sales of reagent kits at a point in time when the reagent kits are delivered to hospitals customers. For the facilitation services, we purchase the laboratory equipment from third-party suppliers when a hospital submits purchase request and resells the laboratory equipment to the hospital. We act as an agent in facilitating laboratory equipment sales as we do not control the laboratory equipment prior to its delivery to hospitals and do not have inventory risks. The facilitation services for each piece of laboratory equipment represent a single performance obligation. We record revenue on a net basis at the point in time when we have completed our facilitation services.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 from pharma research and development services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provide pharma research and development services, primarily cancer therapy selection tests services, companion diagnostics development services, and other service agreements with the combination of various customized tests services and analytical validation services, to pharmaceutical companies for developing new drugs for targeted therapies, immunotherapies on various types of cancers and to hospitals for their studies on cancer diagnosis and treatment.</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Our contracts with biopharmaceutical customers and hospitals may include multiple distinct performance obligations, of which the transaction price is allocated to the separate performance obligations on a relative standalone selling price basis. Performance obligation is satisfied over time if such performance does not create an asset with an alternative use to us, and we have an enforceable right to payment for performance. We recognize revenue using an input method to measure progress for these arrangements, utilizing costs incurred to-date relative to total expected costs as its measure of progress. If a performance obligation is not satisfied over time, we record revenue at a point in time when the customer gains control of the service.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 list of recent relevant accounting pronouncements is included in Note 2 “Summary of Significant Accounting Policies” to our consolidated financial statements included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US$</w:t>
            </w: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vMerge w:val="continue"/>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345,030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290,738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316,111</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45,203</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192,405</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225,084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223,457</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31,954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537,435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515,822</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539,568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77,157</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Cost of revenues</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(101,638)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(88,323)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(79,317)</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(11,342)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(72,570)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(65,099)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(57,337)</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(174,208)</w:t>
            </w:r>
          </w:p>
        </w:tc>
        <w:tc>
          <w:tcPr>
            <w:tcW w:w="220" w:type="dxa"/>
            <w:vAlign w:val="bottom"/>
            <w:vMerge w:val="continue"/>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(153,422</w:t>
            </w:r>
          </w:p>
        </w:tc>
        <w:tc>
          <w:tcPr>
            <w:tcW w:w="22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(136,654</w:t>
            </w:r>
          </w:p>
        </w:tc>
        <w:tc>
          <w:tcPr>
            <w:tcW w:w="2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22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363,227</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362,400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402,914</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57,615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(347,016)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(232,290)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(166,494)</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(23,808)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Selling and marketing expenses</w:t>
            </w:r>
            <w:r>
              <w:rPr>
                <w:rFonts w:ascii="Times New Roman" w:cs="Times New Roman" w:eastAsia="Times New Roman" w:hAnsi="Times New Roman"/>
                <w:sz w:val="25"/>
                <w:szCs w:val="25"/>
                <w:color w:val="auto"/>
                <w:vertAlign w:val="superscript"/>
              </w:rPr>
              <w:t>(1)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(247,711)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(190,904)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(165,175)</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(23,620)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(437,821)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(81.5)</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(261,638)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(126,090)</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(18,031)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(35,127)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(1,032,548)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(192.1)</w:t>
            </w:r>
          </w:p>
        </w:tc>
        <w:tc>
          <w:tcPr>
            <w:tcW w:w="2620" w:type="dxa"/>
            <w:vAlign w:val="bottom"/>
            <w:gridSpan w:val="6"/>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(719,959)   (139.6)  (457,759)</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(65,459)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(669,321)</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(357,559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(54,845)</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17,956</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12,212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8,053</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4,706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(6,711)</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(651,301)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(340,741)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(53,790)</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(7,693)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(5,885)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(1,556)</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(653,689)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(121.6)</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(346,626)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(55,346)</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(7,916)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were allocated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840" w:type="dxa"/>
            <w:vAlign w:val="bottom"/>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8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2,313</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1,869</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53,474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30,677</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9,658</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5,010</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195,274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118,066</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8,064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260,719</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155,622</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13,876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Our revenues increased by 4.6% to RMB539.6 million for 2025 from RMB515.8 million for 2024, primarily due to an increase in revenues generated from services to RMB316.1 million for 2025 from RMB290.7 million for 2024, and a decrease in revenues from sales of products to RMB223.5 million for 2025 from RMB225.1 million for 2024. We derived our revenues from three sources:</w:t>
      </w:r>
    </w:p>
    <w:p>
      <w:pPr>
        <w:spacing w:after="0" w:line="77" w:lineRule="exact"/>
        <w:rPr>
          <w:sz w:val="20"/>
          <w:szCs w:val="20"/>
          <w:color w:val="auto"/>
        </w:rPr>
      </w:pPr>
    </w:p>
    <w:p>
      <w:pPr>
        <w:ind w:left="1080" w:right="240" w:hanging="424"/>
        <w:spacing w:after="0" w:line="26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business</w:t>
      </w:r>
      <w:r>
        <w:rPr>
          <w:rFonts w:ascii="Times New Roman" w:cs="Times New Roman" w:eastAsia="Times New Roman" w:hAnsi="Times New Roman"/>
          <w:sz w:val="18"/>
          <w:szCs w:val="18"/>
          <w:color w:val="auto"/>
        </w:rPr>
        <w:t>. Our revenue generated from central laboratory business decreased by 8.9% to RMB160.0 million for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RMB175.6 million for 2024, primarily attributable to a decrease in the number of tests, as we continued our transition towards in-hospital testing and pharma research and development services.</w:t>
      </w:r>
    </w:p>
    <w:p>
      <w:pPr>
        <w:sectPr>
          <w:pgSz w:w="11900" w:h="16838" w:orient="portrait"/>
          <w:cols w:equalWidth="0" w:num="1">
            <w:col w:w="11140"/>
          </w:cols>
          <w:pgMar w:left="320" w:top="482" w:right="439" w:bottom="1440" w:gutter="0" w:footer="0" w:header="0"/>
        </w:sectPr>
      </w:pP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140"/>
          </w:cols>
          <w:pgMar w:left="320" w:top="482" w:right="4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right="680" w:hanging="424"/>
        <w:spacing w:after="0" w:line="28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In-hospital business. </w:t>
      </w:r>
      <w:r>
        <w:rPr>
          <w:rFonts w:ascii="Times New Roman" w:cs="Times New Roman" w:eastAsia="Times New Roman" w:hAnsi="Times New Roman"/>
          <w:sz w:val="18"/>
          <w:szCs w:val="18"/>
          <w:color w:val="auto"/>
        </w:rPr>
        <w:t>Our revenue generated from in-hospital business remained relatively stable to RMB224.1 million for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RMB224.5 million for 2024.</w:t>
      </w:r>
    </w:p>
    <w:p>
      <w:pPr>
        <w:spacing w:after="0" w:line="60"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 research and development services</w:t>
      </w:r>
      <w:r>
        <w:rPr>
          <w:rFonts w:ascii="Times New Roman" w:cs="Times New Roman" w:eastAsia="Times New Roman" w:hAnsi="Times New Roman"/>
          <w:sz w:val="18"/>
          <w:szCs w:val="18"/>
          <w:color w:val="auto"/>
        </w:rPr>
        <w:t>. Our revenue generated from pharma research and development services increased by 34.5%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RMB155.5 million for 2025 from RMB115.7 million for 2024, primarily attributable to an increased development and testing services performed for our pharma customers.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Our cost of revenues decreased by 10.9% to RMB136.7 million for 2025 from RMB153.4 million for 2024. This decrease was primarily attributable to a decrease in cost of revenues for our central laboratory business, as we continued our transition towards in-hospital testing.</w:t>
      </w:r>
    </w:p>
    <w:p>
      <w:pPr>
        <w:spacing w:after="0" w:line="41" w:lineRule="exact"/>
        <w:rPr>
          <w:sz w:val="20"/>
          <w:szCs w:val="20"/>
          <w:color w:val="auto"/>
        </w:rPr>
      </w:pPr>
    </w:p>
    <w:p>
      <w:pPr>
        <w:ind w:left="1080" w:right="54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business</w:t>
      </w:r>
      <w:r>
        <w:rPr>
          <w:rFonts w:ascii="Times New Roman" w:cs="Times New Roman" w:eastAsia="Times New Roman" w:hAnsi="Times New Roman"/>
          <w:sz w:val="18"/>
          <w:szCs w:val="18"/>
          <w:color w:val="auto"/>
        </w:rPr>
        <w:t>. Cost of revenue for central laboratory business was RMB22.4 million for 2025, representing a 33.7%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from RMB33.8 million for 2024, primarily due to the decreased depreciation.</w:t>
      </w:r>
    </w:p>
    <w:p>
      <w:pPr>
        <w:spacing w:after="0" w:line="60" w:lineRule="exact"/>
        <w:rPr>
          <w:rFonts w:ascii="Times New Roman" w:cs="Times New Roman" w:eastAsia="Times New Roman" w:hAnsi="Times New Roman"/>
          <w:sz w:val="18"/>
          <w:szCs w:val="18"/>
          <w:color w:val="auto"/>
        </w:rPr>
      </w:pPr>
    </w:p>
    <w:p>
      <w:pPr>
        <w:ind w:left="1080" w:right="340" w:hanging="424"/>
        <w:spacing w:after="0" w:line="26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In-hospital business</w:t>
      </w:r>
      <w:r>
        <w:rPr>
          <w:rFonts w:ascii="Times New Roman" w:cs="Times New Roman" w:eastAsia="Times New Roman" w:hAnsi="Times New Roman"/>
          <w:sz w:val="18"/>
          <w:szCs w:val="18"/>
          <w:color w:val="auto"/>
        </w:rPr>
        <w:t>. Cost of revenue for in-hospital business was RMB57.3 million for 2025, representing an 11.9% decrease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RMB65.1 million for 2024, primarily due to the decreased depreciation and amortization and the reduction in material and labor costs resulted from cost optimization and control measures.</w:t>
      </w:r>
    </w:p>
    <w:p>
      <w:pPr>
        <w:spacing w:after="0" w:line="76" w:lineRule="exact"/>
        <w:rPr>
          <w:rFonts w:ascii="Times New Roman" w:cs="Times New Roman" w:eastAsia="Times New Roman" w:hAnsi="Times New Roman"/>
          <w:sz w:val="18"/>
          <w:szCs w:val="18"/>
          <w:color w:val="auto"/>
        </w:rPr>
      </w:pPr>
    </w:p>
    <w:p>
      <w:pPr>
        <w:ind w:left="1080" w:right="24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 research and development services</w:t>
      </w:r>
      <w:r>
        <w:rPr>
          <w:rFonts w:ascii="Times New Roman" w:cs="Times New Roman" w:eastAsia="Times New Roman" w:hAnsi="Times New Roman"/>
          <w:sz w:val="18"/>
          <w:szCs w:val="18"/>
          <w:color w:val="auto"/>
        </w:rPr>
        <w:t>. Cost of revenue for pharma research and development services was RMB56.9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representing an 4.4% increase from RMB54.5 million for 2024, primarily due to a decreased depreciation.</w:t>
      </w:r>
    </w:p>
    <w:p>
      <w:pPr>
        <w:spacing w:after="0" w:line="2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gross profit remained relatively stable at RMB402.9 million (US$57.6 million) for 2025, compared to RMB362.4 million for the same period in 2024. Gross margin increased to 74.7% for 2025 from 70.3% for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a breakdown of our gross profit and gross profit margin for the periods indicated: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7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RMB</w:t>
            </w:r>
          </w:p>
        </w:tc>
        <w:tc>
          <w:tcPr>
            <w:tcW w:w="11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500" w:type="dxa"/>
            <w:vAlign w:val="bottom"/>
          </w:tcPr>
          <w:p>
            <w:pPr>
              <w:spacing w:after="0"/>
              <w:rPr>
                <w:sz w:val="10"/>
                <w:szCs w:val="10"/>
                <w:color w:val="auto"/>
              </w:rPr>
            </w:pPr>
          </w:p>
        </w:tc>
        <w:tc>
          <w:tcPr>
            <w:tcW w:w="7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RMB</w:t>
            </w:r>
          </w:p>
        </w:tc>
        <w:tc>
          <w:tcPr>
            <w:tcW w:w="11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margin (%)</w:t>
            </w:r>
          </w:p>
        </w:tc>
        <w:tc>
          <w:tcPr>
            <w:tcW w:w="720" w:type="dxa"/>
            <w:vAlign w:val="bottom"/>
            <w:vMerge w:val="continue"/>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margin (%)</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business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141,841</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In-hospital 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159,393</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166,698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services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61,166</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52.9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362,400</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402,914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080" w:right="160" w:hanging="424"/>
        <w:spacing w:after="0" w:line="26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business</w:t>
      </w:r>
      <w:r>
        <w:rPr>
          <w:rFonts w:ascii="Times New Roman" w:cs="Times New Roman" w:eastAsia="Times New Roman" w:hAnsi="Times New Roman"/>
          <w:sz w:val="18"/>
          <w:szCs w:val="18"/>
          <w:color w:val="auto"/>
        </w:rPr>
        <w:t>. Gross profit for central laboratory business was RMB137.6 million for 2025, representing a 3.0%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RMB141.8 million for 2024. Our gross margin for central laboratory business increased to 86.0% for 2025 from 80.8% for 2024, primarily due to a decreased depreciation.</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60"/>
          </w:cols>
          <w:pgMar w:left="320" w:top="482"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In-hospital business</w:t>
      </w:r>
      <w:r>
        <w:rPr>
          <w:rFonts w:ascii="Times New Roman" w:cs="Times New Roman" w:eastAsia="Times New Roman" w:hAnsi="Times New Roman"/>
          <w:sz w:val="18"/>
          <w:szCs w:val="18"/>
          <w:color w:val="auto"/>
        </w:rPr>
        <w:t>. Gross profit for in-hospital business was RMB166.7 million for 2025, representing a 4.6% increase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RMB159.4 million for 2024. Our gross margin for in-hospital business increased to 74.4% for 2025 from 71.0% for 2024, primarily due to a decreased depreciation and amortization and the reduction in material and labor costs resulted from cost optimization and control measures.</w:t>
      </w:r>
    </w:p>
    <w:p>
      <w:pPr>
        <w:spacing w:after="0" w:line="81"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 research and development services</w:t>
      </w:r>
      <w:r>
        <w:rPr>
          <w:rFonts w:ascii="Times New Roman" w:cs="Times New Roman" w:eastAsia="Times New Roman" w:hAnsi="Times New Roman"/>
          <w:sz w:val="18"/>
          <w:szCs w:val="18"/>
          <w:color w:val="auto"/>
        </w:rPr>
        <w:t>. Gross profit for pharma research and development services was RMB98.6 million for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 61.3% increase from RMB61.2 million for 2024. Our gross margin for pharma research and development services increased to 63.4% for 2025 from 52.9% for 2024, primarily due to an increase in test volume of higher margin projects and a decreased depreciation.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research and development expenses decreased by 28.3% to RMB166.5 million for 2025 from RMB232.3 million for 2024, primarily due to</w:t>
      </w:r>
    </w:p>
    <w:p>
      <w:pPr>
        <w:spacing w:after="0" w:line="27" w:lineRule="exact"/>
        <w:rPr>
          <w:sz w:val="20"/>
          <w:szCs w:val="20"/>
          <w:color w:val="auto"/>
        </w:rPr>
      </w:pPr>
    </w:p>
    <w:p>
      <w:pPr>
        <w:ind w:left="120" w:right="180" w:hanging="4"/>
        <w:spacing w:after="0" w:line="260"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amortized expense on share-based compensation; (ii) a decrease in the expenditure for detection research; (iii) a decrease in staff cost resulted from the reorganization of our research and development department; and (iv) a decrease in depreciation and amortization expenses.</w:t>
      </w: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decreased by 13.5% to RMB165.2 million for 2025 from RMB190.9 million for 2024, primarily due to (i) a decrease in staff cost resulted from the reorganization of our sales department; (ii) a decrease in depreciation and amortization expenses; and (iii) a decrease in amortized expense on share-based compensation; offset by (iv) an increase in conference fee.</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general and administrative expenses decreased by 51.8% to RMB126.1 million for 2025 from RMB261.6 million for 2024, primarily due to</w:t>
      </w:r>
    </w:p>
    <w:p>
      <w:pPr>
        <w:spacing w:after="0" w:line="27" w:lineRule="exact"/>
        <w:rPr>
          <w:sz w:val="20"/>
          <w:szCs w:val="20"/>
          <w:color w:val="auto"/>
        </w:rPr>
      </w:pPr>
    </w:p>
    <w:p>
      <w:pPr>
        <w:ind w:left="120" w:right="560" w:hanging="4"/>
        <w:spacing w:after="0" w:line="260"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amortized expense on share-based compensation; (ii) a decrease in staff cost resulted from the reorganization of our general and administrative department; (iii) a decrease in operating lease; and (iv) a decrease in depreciation and amortization expenses.</w:t>
      </w: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Due to the continuing operating losses and cash outflows, we performed impairment test on long-lived assets and recognized an impairment loss of RMB35.1 million for the year ended December 31, 2024. We did not record such impairment loss for the year ended December 31, 2025.</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interest income decreased by 34.1% to RMB8.1 million for 2025 from RMB12.2 million for 2024, primarily due to the decrease in interest income as a result of the USD deposits.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net loss decreased by 84.0% to RMB55.3 million for 2025 from RMB346.6 million for 2024, primarily due to a decrease in operating expenses as mentioned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revenues decreased by 4.0% to RMB515.8 million for 2024 from RMB537.4 million for 2023, primarily due to a decrease in revenues generated from services to RMB290.7 million for 2024 from RMB345.0 million for 2023, offset by an increase in revenues from sales of products to RMB225.1 million for 2024 from RMB192.4 million for 2023. We derived our revenues from three sources:</w:t>
      </w:r>
    </w:p>
    <w:p>
      <w:pPr>
        <w:spacing w:after="0" w:line="77" w:lineRule="exact"/>
        <w:rPr>
          <w:sz w:val="20"/>
          <w:szCs w:val="20"/>
          <w:color w:val="auto"/>
        </w:rPr>
      </w:pPr>
    </w:p>
    <w:p>
      <w:pPr>
        <w:ind w:left="1080" w:right="100" w:hanging="424"/>
        <w:spacing w:after="0" w:line="26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business</w:t>
      </w:r>
      <w:r>
        <w:rPr>
          <w:rFonts w:ascii="Times New Roman" w:cs="Times New Roman" w:eastAsia="Times New Roman" w:hAnsi="Times New Roman"/>
          <w:sz w:val="18"/>
          <w:szCs w:val="18"/>
          <w:color w:val="auto"/>
        </w:rPr>
        <w:t>. Our revenue generated from central laboratory business decreased by 24.6% to RMB175.6 million for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RMB232.8 million for 2023, primarily attributable to a decrease in the number of tests, as we continued our transition towards in-hospital testing.</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82"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080" w:right="740" w:hanging="424"/>
        <w:spacing w:after="0" w:line="317"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In-hospital business. </w:t>
      </w:r>
      <w:r>
        <w:rPr>
          <w:rFonts w:ascii="Times New Roman" w:cs="Times New Roman" w:eastAsia="Times New Roman" w:hAnsi="Times New Roman"/>
          <w:sz w:val="17"/>
          <w:szCs w:val="17"/>
          <w:color w:val="auto"/>
        </w:rPr>
        <w:t>Our revenue generated from in-hospital business increased by 19.0% to RMB224.5 million for 2024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RMB188.7 million for 2023, driven by an increase in sales volume from existing hospitals and new contracted partner hospitals.</w:t>
      </w:r>
    </w:p>
    <w:p>
      <w:pPr>
        <w:spacing w:after="0" w:line="37" w:lineRule="exact"/>
        <w:rPr>
          <w:rFonts w:ascii="Times New Roman" w:cs="Times New Roman" w:eastAsia="Times New Roman" w:hAnsi="Times New Roman"/>
          <w:sz w:val="17"/>
          <w:szCs w:val="17"/>
          <w:color w:val="auto"/>
        </w:rPr>
      </w:pPr>
    </w:p>
    <w:p>
      <w:pPr>
        <w:ind w:left="1080" w:right="60" w:hanging="424"/>
        <w:spacing w:after="0" w:line="28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 research and development services</w:t>
      </w:r>
      <w:r>
        <w:rPr>
          <w:rFonts w:ascii="Times New Roman" w:cs="Times New Roman" w:eastAsia="Times New Roman" w:hAnsi="Times New Roman"/>
          <w:sz w:val="18"/>
          <w:szCs w:val="18"/>
          <w:color w:val="auto"/>
        </w:rPr>
        <w:t>. Our revenue generated from pharma research and development services remained relatively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stable to RMB115.7 million for 2024, compared to RMB115.9 million for 2023.</w:t>
      </w:r>
    </w:p>
    <w:p>
      <w:pPr>
        <w:spacing w:after="0" w:line="2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Our cost of revenues decreased by 11.9% to RMB153.4 million for 2024 from RMB174.2 million for 2023. This decrease was primarily attributable to a decrease in cost of revenues for our central laboratory business, as we continued our transition towards in-hospital testing.</w:t>
      </w:r>
    </w:p>
    <w:p>
      <w:pPr>
        <w:spacing w:after="0" w:line="41" w:lineRule="exact"/>
        <w:rPr>
          <w:sz w:val="20"/>
          <w:szCs w:val="20"/>
          <w:color w:val="auto"/>
        </w:rPr>
      </w:pPr>
    </w:p>
    <w:p>
      <w:pPr>
        <w:ind w:left="1080" w:right="54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business</w:t>
      </w:r>
      <w:r>
        <w:rPr>
          <w:rFonts w:ascii="Times New Roman" w:cs="Times New Roman" w:eastAsia="Times New Roman" w:hAnsi="Times New Roman"/>
          <w:sz w:val="18"/>
          <w:szCs w:val="18"/>
          <w:color w:val="auto"/>
        </w:rPr>
        <w:t>. Cost of revenue for central laboratory business was RMB33.8 million for 2024, representing a 31.7%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from RMB49.5 million for 2023, which was in line with the revenue decrease of this segment.</w:t>
      </w:r>
    </w:p>
    <w:p>
      <w:pPr>
        <w:spacing w:after="0" w:line="60" w:lineRule="exact"/>
        <w:rPr>
          <w:rFonts w:ascii="Times New Roman" w:cs="Times New Roman" w:eastAsia="Times New Roman" w:hAnsi="Times New Roman"/>
          <w:sz w:val="18"/>
          <w:szCs w:val="18"/>
          <w:color w:val="auto"/>
        </w:rPr>
      </w:pPr>
    </w:p>
    <w:p>
      <w:pPr>
        <w:ind w:left="1080" w:right="54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In-hospital business</w:t>
      </w:r>
      <w:r>
        <w:rPr>
          <w:rFonts w:ascii="Times New Roman" w:cs="Times New Roman" w:eastAsia="Times New Roman" w:hAnsi="Times New Roman"/>
          <w:sz w:val="18"/>
          <w:szCs w:val="18"/>
          <w:color w:val="auto"/>
        </w:rPr>
        <w:t>. Cost of revenue for in-hospital business was RMB65.1 million for 2024, representing a 10.3% decrease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RMB72.6 million for 2023, primarily due to the decreased renovation depreciation in relation to our laboratory.</w:t>
      </w:r>
    </w:p>
    <w:p>
      <w:pPr>
        <w:spacing w:after="0" w:line="60" w:lineRule="exact"/>
        <w:rPr>
          <w:rFonts w:ascii="Times New Roman" w:cs="Times New Roman" w:eastAsia="Times New Roman" w:hAnsi="Times New Roman"/>
          <w:sz w:val="18"/>
          <w:szCs w:val="18"/>
          <w:color w:val="auto"/>
        </w:rPr>
      </w:pPr>
    </w:p>
    <w:p>
      <w:pPr>
        <w:ind w:left="1080" w:right="24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 research and development services</w:t>
      </w:r>
      <w:r>
        <w:rPr>
          <w:rFonts w:ascii="Times New Roman" w:cs="Times New Roman" w:eastAsia="Times New Roman" w:hAnsi="Times New Roman"/>
          <w:sz w:val="18"/>
          <w:szCs w:val="18"/>
          <w:color w:val="auto"/>
        </w:rPr>
        <w:t>. Cost of revenue for pharma research and development services was RMB54.5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remaining relatively stable from RMB52.2 million for 2023..</w:t>
      </w:r>
    </w:p>
    <w:p>
      <w:pPr>
        <w:spacing w:after="0" w:line="2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gross profit remained relatively stable at RMB362.4 million (US$49.6 million) for 2024, compared to RMB363.2 million for the same period in 2023. Gross margin increased to 70.3% for 2024 from 67.6% for 2023.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a breakdown of our gross profit and gross profit margin for the periods indicated: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50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margin (%)</w:t>
            </w: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margin (%)</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business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183,339</w:t>
            </w:r>
          </w:p>
        </w:tc>
        <w:tc>
          <w:tcPr>
            <w:tcW w:w="16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78.7</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141,841</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In-hospital business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116,131</w:t>
            </w: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61.5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159,393</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services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63,757</w:t>
            </w:r>
          </w:p>
        </w:tc>
        <w:tc>
          <w:tcPr>
            <w:tcW w:w="16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55.0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61,166</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67.6</w:t>
            </w:r>
          </w:p>
        </w:tc>
        <w:tc>
          <w:tcPr>
            <w:tcW w:w="5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80" w:right="6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Central laboratory business</w:t>
      </w:r>
      <w:r>
        <w:rPr>
          <w:rFonts w:ascii="Times New Roman" w:cs="Times New Roman" w:eastAsia="Times New Roman" w:hAnsi="Times New Roman"/>
          <w:sz w:val="18"/>
          <w:szCs w:val="18"/>
          <w:color w:val="auto"/>
        </w:rPr>
        <w:t>. Gross profit for central laboratory business was RMB141.8 million for 2024, representing a 22.6%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RMB183.3 million for 2023, primarily attributable to a decrease of revenue of this segment. Our gross margin for central laboratory business increased to 80.8% for 2024 from 78.7% for 2023, primarily due to the decreases in depreciation.</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82"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right="140" w:hanging="424"/>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In-hospital business</w:t>
      </w:r>
      <w:r>
        <w:rPr>
          <w:rFonts w:ascii="Times New Roman" w:cs="Times New Roman" w:eastAsia="Times New Roman" w:hAnsi="Times New Roman"/>
          <w:sz w:val="18"/>
          <w:szCs w:val="18"/>
          <w:color w:val="auto"/>
        </w:rPr>
        <w:t>. Gross profit for in-hospital business was RMB159.4 million for 2024, representing a 37.3% increase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RMB116.1 million for 2023, primarily due to the volume growth and the decreased depreciation in relation to our laboratories. Our gross margin for in-hospital business decreased to 71.0% for 2024 from 61.5% for 2023, primarily due to an increase in sales volume to high margin hospitals and decreased depreciation and rental cost in relation to our laboratory of Guangzhou headquarters.</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 research and development services</w:t>
      </w:r>
      <w:r>
        <w:rPr>
          <w:rFonts w:ascii="Times New Roman" w:cs="Times New Roman" w:eastAsia="Times New Roman" w:hAnsi="Times New Roman"/>
          <w:sz w:val="18"/>
          <w:szCs w:val="18"/>
          <w:color w:val="auto"/>
        </w:rPr>
        <w:t>. Gross profit for pharma research and development services was RMB61.2 million for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 4.1% decrease from RMB63.8 million for 2023. Our gross margin for pharma research and development services decreased to 52.9% for 2024 from 55.0% for 2023, which remained relatively stable.</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research and development expenses decreased by 33.1% to RMB232.3 million for 2024 from RMB347.0 million for 2023, primarily due to</w:t>
      </w:r>
    </w:p>
    <w:p>
      <w:pPr>
        <w:spacing w:after="0" w:line="27" w:lineRule="exact"/>
        <w:rPr>
          <w:sz w:val="20"/>
          <w:szCs w:val="20"/>
          <w:color w:val="auto"/>
        </w:rPr>
      </w:pPr>
    </w:p>
    <w:p>
      <w:pPr>
        <w:ind w:left="120" w:hanging="4"/>
        <w:spacing w:after="0" w:line="255" w:lineRule="auto"/>
        <w:tabs>
          <w:tab w:leader="none" w:pos="3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expenditure for detection research; (ii) a decrease in amortized expense on share-based compensation; (iii) a decrease in staff cost resulted from the reorganization of our research and development department to improve operating efficiency; and (iv) a decrease in amortized expenses for office building.</w:t>
      </w:r>
    </w:p>
    <w:p>
      <w:pPr>
        <w:spacing w:after="0" w:line="2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decreased by 22.9% to RMB190.9 million for 2024 from RMB247.7 million for 2023, primarily due to (i) a decrease in staff cost resulted from the reorganization of our sales department to improve operating efficiency; (ii) a decrease in marketing and conference fee; (iii) a decrease in amortized expense on share-based compensation; and (iv) a decrease in travel expense.</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general and administrative expenses decreased by 40.2% to RMB261.6 million for 2024 from RMB437.8 million for 2023, primarily due to</w:t>
      </w:r>
    </w:p>
    <w:p>
      <w:pPr>
        <w:spacing w:after="0" w:line="27" w:lineRule="exact"/>
        <w:rPr>
          <w:sz w:val="20"/>
          <w:szCs w:val="20"/>
          <w:color w:val="auto"/>
        </w:rPr>
      </w:pPr>
    </w:p>
    <w:p>
      <w:pPr>
        <w:ind w:left="120" w:right="140" w:hanging="4"/>
        <w:spacing w:after="0" w:line="265" w:lineRule="auto"/>
        <w:tabs>
          <w:tab w:leader="none" w:pos="33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amortized expense on share-based compensation; (ii) a decrease in amortized expenses for office building; (iii) a decrease in staff cost resulted from the reorganization of our general and administrative department to improve operating efficiency; (iv) a decrease in operating lease; and</w:t>
      </w:r>
    </w:p>
    <w:p>
      <w:pPr>
        <w:ind w:left="120" w:right="480" w:hanging="4"/>
        <w:spacing w:after="0" w:line="260" w:lineRule="auto"/>
        <w:tabs>
          <w:tab w:leader="none" w:pos="3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expenses for accounts receivables and contract assets resulting from accelerated settlement with customers with long accounts receivable.</w:t>
      </w: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Due to the continuing operating losses and cash outflows, we performed impairment test on long-lived assets and recognized an impairment loss of RMB35.1 million for the year ended December 31, 2024.</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interest income decreased by 32.0% to RMB12.2 million for 2024 from RMB18.0 million for 2023, primarily due to the decrease in interest income as a result of the USD deposits.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net loss decreased by 47.0% to RMB346.6 million for 2024 from RMB653.7 million for 2023, primarily due to a decrease in operating expenses as mentioned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have been proceeds from our initial public offering and concurrent private placement, equity contributions from our shareholders and bank borrowings. In June 2020, we completed our initial public offering in which we issued and sold an aggregate of 15,525,000 ADSs, representing 15,525,000 Class A ordinary shares, resulting in net proceeds to us of US$234.9 million. Concurrently with our initial public offering, we also raised US$25 million from Lake Bleu Prime Healthcare Master Fund Limited, by selling 1,515,151 Class A ordinary shares to it in a private placement.</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and restricted cash of RMB481.1 million (US$68.8 million), primarily consisting of bank deposits.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and restricted cash, together with our cash generated from financing activities, our initial public offering and private placement, will be sufficient to meet our current and anticipated needs for general corporate purposes for at least the next 12 months. We may, however, decide to expand our business through additional equity and debt financing. The issuance and sale of additional equity would result in further dilution to our shareholders. The incurrence of indebtedness would result in increased fixed obligations and could result in operating covenants that would restrict our operations.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in the foreseeable future are likely to continue to be denominated in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U.S. dollars to us without prior SAFE approval by following these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selected cash flow statement information for the periods indicated: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780" w:type="dxa"/>
            <w:vAlign w:val="bottom"/>
            <w:gridSpan w:val="2"/>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6860" w:type="dxa"/>
            <w:vAlign w:val="bottom"/>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880" w:type="dxa"/>
            <w:vAlign w:val="bottom"/>
            <w:tcBorders>
              <w:top w:val="single" w:sz="8" w:color="auto"/>
            </w:tcBorders>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20" w:type="dxa"/>
            <w:vAlign w:val="bottom"/>
            <w:tcBorders>
              <w:top w:val="single" w:sz="8" w:color="auto"/>
            </w:tcBorders>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6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(255,783)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(92,261)</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(28,443)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(4,412)</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(4,391)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financing activities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(48,832)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1,900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3,863</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3,691</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(10,140)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(310,052)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(93,054)</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(41,074)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year</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925,268</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615,216</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522,162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74,668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year</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615,216</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522,162</w:t>
            </w:r>
          </w:p>
        </w:tc>
        <w:tc>
          <w:tcPr>
            <w:tcW w:w="8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481,088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68,795</w:t>
            </w:r>
          </w:p>
        </w:tc>
      </w:tr>
      <w:tr>
        <w:trPr>
          <w:trHeight w:val="365"/>
        </w:trPr>
        <w:tc>
          <w:tcPr>
            <w:tcW w:w="686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115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for 2025 was RMB28.4 million (US$4.1 million), while our net loss for the same period was</w:t>
      </w:r>
    </w:p>
    <w:p>
      <w:pPr>
        <w:spacing w:after="0" w:line="27"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RMB55.3 million. The difference was primarily due to adjustment for non-cash and non-operating items of RMB86.3 million, primarily including share-based compensation of RMB13.9 million, depreciation and amortization of RMB21.8 million, non-cash operating lease expenses of RMB24.4 million, allowance for credit losses of RMB17.2 million and changes in working capital. The changes in working capital primarily reflected (i) a decrease in prepayments and other current assets of RMB6.4 million primarily attributable to the decrease of prepaid material procurement cost, and (ii) an increase in accounts payables of RMB7.2 million, primarily attributable to our strict settlement control measures, and partially offset by (i) an increase in accounts receivables of RMB31.0 million, primarily attributable to the continued growth of our pharma research and development services business,</w:t>
      </w:r>
    </w:p>
    <w:p>
      <w:pPr>
        <w:spacing w:after="0" w:line="1" w:lineRule="exact"/>
        <w:rPr>
          <w:sz w:val="20"/>
          <w:szCs w:val="20"/>
          <w:color w:val="auto"/>
        </w:rPr>
      </w:pPr>
    </w:p>
    <w:p>
      <w:pPr>
        <w:ind w:left="120" w:right="380" w:hanging="4"/>
        <w:spacing w:after="0" w:line="260" w:lineRule="auto"/>
        <w:tabs>
          <w:tab w:leader="none" w:pos="3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operating lease liabilities of RMB25.1 million, primarily attributable to rental payments, and (iii) a decrease in deferred revenue of RMB10.1 million primarily as a result of our overall central laboratory business decline.</w:t>
      </w:r>
    </w:p>
    <w:p>
      <w:pPr>
        <w:spacing w:after="0" w:line="18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for 2024 was RMB92.3 million, while our net loss for the same period was RMB346.6 million. The difference was primarily due to adjustment for non-cash and non-operating items of RMB290.9 million, primarily including share-based compensation of RMB155.6 million, depreciation and amortization of RMB52.2 million, impairment of long-lived assets of RMB35.1 million, non-cash operating lease expenses of RMB26.5 million, and changes in working capital. The changes in working capital primarily reflected (i) a decrease in prepayments and other current assets of RMB19.3 million primarily attributable to the decrease of prepaid annual maintenance fee and material procurement cost, and</w:t>
      </w:r>
    </w:p>
    <w:p>
      <w:pPr>
        <w:spacing w:after="0" w:line="3" w:lineRule="exact"/>
        <w:rPr>
          <w:sz w:val="20"/>
          <w:szCs w:val="20"/>
          <w:color w:val="auto"/>
        </w:rPr>
      </w:pPr>
    </w:p>
    <w:p>
      <w:pPr>
        <w:ind w:left="120" w:right="20" w:hanging="4"/>
        <w:spacing w:after="0" w:line="253" w:lineRule="auto"/>
        <w:tabs>
          <w:tab w:leader="none" w:pos="3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accounts payables of RMB18.9 million, primarily attributable to our strict settlement control measures, and partially offset by (i) an increase in accounts receivables of RMB32.6 million, primarily attributable to the continued growth of our in-hospital business, (ii) a decrease in operating lease liabilities of RMB27.6 million, primarily attributable to the rental payments, and (iii) a decrease in deferred revenue of RMB12.6 million primarily as a result of our overall central laboratory business decline.</w:t>
      </w:r>
    </w:p>
    <w:p>
      <w:pPr>
        <w:spacing w:after="0" w:line="189"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2023 was RMB255.8 million, while our net loss for the same period was RMB653.7 million. The difference was primarily due to adjustment for non-cash and non-operating items of RMB450.1 million, primarily including share-based compensation of RMB260.7 million, depreciation and amortization of RMB133.4 million, non-cash operating lease expenses of RMB35.2 million, and changes in working capital. The changes in working capital primarily reflected (i) a decrease in inventories of RMB57.3 million, primarily attributable to our adjustment in response to changes in order demand and improvement in inventory management level, and (ii) a decrease in prepayments and other current and non-current assets of RMB12.4 million, primarily attributable to the decrease of prepaid research and development expenses, and partially offset by (i) a decrease in operating lease liabilities of RMB37.7 million, primarily attributable to the termination of office leases, (ii) a decrease in accounts payable of RMB31.1 million, primarily attributable to the timely settlement of payment and reduction of inventories, and (iii) a decrease in accrued liabilities and other current liabilities of RMB19.2 million, primarily attributed to the settlement of guaranteed return for certain eligible employees under our ESOP plans.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2025 was RMB4.4 million (US$0.6 million), primarily due to purchase of property and equipment of RMB5.2 million (US$0.8 million).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 for 2024 was RMB4.4 million, primarily due to purchase of property and equipment of RMB5.4 million.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 for 2023 was RMB9.3 million, primarily due to purchase of property and equipment of RMB8.1 million.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Net cash generated from financing activities for 2025 was RMB1.9 million (US$0.3 million), primarily due to proceeds from a long-term bank borrowings of RMB2 million (US$0.3 million).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 for 2024 was RMB0.1 million, primarily due to purchase of treasury shares of RMB0.1 million.</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2023 was RMB48.8 million, primarily due to refund of consideration for Employee Share Incentive Program of RMB41.8 million and purchase of treasury shares of RMB7.0 million.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we had long-term bank borrowings in the total amount of RMB1.7 million (US$0.2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capital expenditures were RMB9.4 million, RMB6.0 million and RMB5.2 million (US$0.8 million) for 2023, 2024 and 2025, respectively. These capital expenditures included the purchase of property, equipment and computer software. We will continue to make capital expenditures to meet the needs of our business’ expected growth. We intend to fund our future capital expenditure with our existing cash balance and proceeds from our initial public offering and the concurrent private placement.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included our operating lease obligations and bank borrowings obligations. Our operating lease obligations primarily represent our obligations for leasing office premises, which include all future cash outflows under ASC Topic 842, Leases. For further information, see Note 10 to our audited consolidated financial statements included elsewhere in this annual report.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by specified categories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40" w:type="dxa"/>
            <w:vAlign w:val="bottom"/>
          </w:tcPr>
          <w:p>
            <w:pPr>
              <w:spacing w:after="0"/>
              <w:rPr>
                <w:sz w:val="10"/>
                <w:szCs w:val="10"/>
                <w:color w:val="auto"/>
              </w:rPr>
            </w:pP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jc w:val="right"/>
              <w:ind w:right="103"/>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20" w:type="dxa"/>
            <w:vAlign w:val="bottom"/>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70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900" w:type="dxa"/>
            <w:vAlign w:val="bottom"/>
          </w:tcPr>
          <w:p>
            <w:pPr>
              <w:jc w:val="cente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3"/>
          </w:tcPr>
          <w:p>
            <w:pPr>
              <w:jc w:val="center"/>
              <w:ind w:left="123"/>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43,151</w:t>
            </w: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17,761</w:t>
            </w:r>
          </w:p>
        </w:tc>
        <w:tc>
          <w:tcPr>
            <w:tcW w:w="8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18,382</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7,008</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 obligations</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2,034</w:t>
            </w: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8"/>
                <w:szCs w:val="18"/>
                <w:color w:val="auto"/>
              </w:rPr>
              <w:t>258</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1,776</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long-term obligations or guarantees as of December 31, 2025.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We are a holding company with no material operations of its own. We conduct our NGS-based cancer diagnostic business primarily through the VIE’s subsidiaries in China. As a result, our ability to pay dividends depends upon dividends paid by our WFOE. If our WFOE or any newly formed PRC subsidiaries incur debt on their own behalf in the future, the instruments governing their debt may restrict their ability to pay dividends to us. In addition, our WFOE is permitted to pay dividends to us only out of its retained earnings, if any, as determined in accordance with PRC accounting standards and regulations. Under PRC law, each of our WFOE, VIE and their respective subsidiaries is required to set aside at least 10% of its after-tax profits each year, if any, to fund certain statutory reserve funds until such reserve funds reach 50% of its registered capital. In addition, our WFOE and the VIE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WFOE has not paid any dividends and will not be able to pay dividends until it generates accumulated profits and meets the requirements for statutory reserve funds.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 and “—Intellectual Property”.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current fiscal year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Critical Accounting Estimate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areas involve critical estimates: impairment of long-lived assets.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information on our critical accounting estimates, see “Item 5. Operating and Financial Review and Prospects—A. Operating Results—Critical Accounting Policies, Judgments and Estimates” and Note 2 to our consolidated financial statements included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evaluate the recoverability of our long-lived assets, including property and equipment, operating right-of-use assets and intangible assets with finite lives, for impairment whenever events or changes in circumstances indicate that the carrying amount of an asset may not be fully recoverable. When these events occur, we measure impairment by comparing the carrying amount of the assets to the estimated undiscounted future cash flows expected to result from the use of the assets and their eventual disposition. If the sum of the expected undiscounted cash flows is less than the carrying amount of the assets, we recognize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is the new cost basis and is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Safe Harbor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“Forward-Looking Statements” in this annual report.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18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7480" w:type="dxa"/>
            <w:vAlign w:val="bottom"/>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5"/>
        </w:trPr>
        <w:tc>
          <w:tcPr>
            <w:tcW w:w="2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Yusheng Han</w:t>
            </w:r>
          </w:p>
        </w:tc>
        <w:tc>
          <w:tcPr>
            <w:tcW w:w="1180" w:type="dxa"/>
            <w:vAlign w:val="bottom"/>
          </w:tcPr>
          <w:p>
            <w:pPr>
              <w:spacing w:after="0"/>
              <w:rPr>
                <w:sz w:val="16"/>
                <w:szCs w:val="16"/>
                <w:color w:val="auto"/>
              </w:rPr>
            </w:pPr>
          </w:p>
        </w:tc>
        <w:tc>
          <w:tcPr>
            <w:tcW w:w="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6"/>
                <w:szCs w:val="16"/>
                <w:color w:val="auto"/>
              </w:rPr>
            </w:pPr>
          </w:p>
        </w:tc>
        <w:tc>
          <w:tcPr>
            <w:tcW w:w="74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Founder, chairman of the board of directors and chief executive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Zhihong (Joe) Zhang</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Xiaozhi Hu</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Gang Lu</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Feng Deng</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Wendy Hayes</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Licen Lisa Xu</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30"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140"/>
          </w:cols>
          <w:pgMar w:left="320" w:top="482" w:right="4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Mr. Yusheng Han is our founder, chairman of the board of directors and chief executive officer. Mr. Han has 19 years of experience in life science. From June 2011 to November 2013, he was an associate in Northern Light Venture Capital where he focused on investment in the healthcare industry and helped the firm invest in successful companies. From July 2005 to May 2009, Mr. Han worked at BioTek Instruments, Inc. as its general manager in China. During his term with BioTek Instruments China, he built and led teams across marketing, sales and post-sale. From September 2003 to May 2005, he served as the product specialist of Gene Company Limited. Mr. Han received a bachelor’s degree in biochemistry from Jilin University in July 2000, and a master’s degree in cell biology in Peking Union Medical College in June 2003. He obtained a Master of Business Administration degree from Columbia Business School in May 2011.</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Dr. Zhihong (Joe) Zhang has served as our chief technology officer in March 2016 and our director since June 2023. Prior to joining us, Dr. Zhang was a staff scientist of Illumina, Inc., and a senior fellow of Howard Hughes Medical Institute and University of Washington. He obtained a bachelor’s and master’s degree in biochemistry and molecular biology from Fudan University in 1997 and 2000, and a Ph.D. degree in molecular genetics and microbiology from Duke University in 2005.</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Ms. Xiaozhi Hu has joined us since 2012 and is current our vice president of finance. Prior to that, she served as a finance manager, senior finance manager, director in finance and senior director in finance, respectively. Before joining us, she worked at ZTE Corporation and Guangdong Zhujiang Investment Co., Ltd. Ms. Hu obtained bachelor’s degrees in economics and accounting from Shanghai University of Finance and Economics in 2006 and a master’s degree in accounting from Sun Yat-sen University in 2012.</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Gang Lu has served as our director since June 2014. In 2009, Mr. Lu joined Legend Star, a venture capital headquartered in Beijing, and he is now a partner of Legend Star and leads investment in healthcare, specialized in the fields of innovative medicine, biological and genetic technology, and innovative medical service. Mr. Lu holds a bachelor’s degree in electromagnetic engineering from Xidian University and a Master of Business Administration degree from Tsinghua University.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82"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Mr. Feng Deng has served as our director since August 2016. Mr. Deng has over 20 years of experience in venture capital, computer science and telecommunication industry. He founded Northern Light Venture Capital in January 2006 and served as its founding managing partner, focusing on investment in technology, media and telecom, or TMT, clean technology, healthcare and consumer sectors. From February 2004 to February 2005, he served as the vice president in strategy in Juniper Networks. From October 1997 to February 2004, Mr. Deng served as the vice president in engineering, chief strategy officer and a director of NetScreen Technologies Inc. Prior to NetScreen, he worked at Intel Corporation as a systems architect from July 1993 to October 1997. He holds a bachelor’s and a master’s degree in electronic engineering from Tsinghua University, a master’s degree in computer engineering from the University of Southern California, and a Master of Business Administration degree from the Wharton Business School of the University of Pennsylvania.</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Ms. Wendy Hayes has served as our independent director since June 2020. Ms. Hayes has served as an independent director of iHuman Inc. (NYSE: IH) since October 2020. Ms. Hayes served as the inspections leader at the Public Company Accounting Oversight Board in the United States. Prior to that, Ms. Hayes was an audit partner at Deloitte (China). Ms. Hayes received her bachelor’s degree in international finance from University of International Business and Economics in 1991, and her executive MBA from Cheung Kong Graduate School of Business in 2012. Ms. Hayes is a certified public accountant in the United States (California) and China.</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Dr. Licen Lisa Xu has served as our independent director since June 2022. Dr. Xu has 17 years of experience in driving the productization and lifecycle for life science and biomedical products, from product concept and research to development and commercialization. She is the chief commercial officer of FlashDx Inc., a molecular diagnostics sample-to-answer solution company, and an independent board member of Ribbon Biolab, a company specialized in the production of synthetic DNAs. Dr. Xu served as a vice president on strategic product management and lifecycle management at Roche Diagnostics, a subsidiary of Roche Holding AG for the development of diagnostic tests, instruments and digital solutions, and a vice president on strategic marketing and product management at Illumina Inc. Dr. Xu has a Ph.D. degree in molecular biology from University of Zurich and a master of science degree in biophysics from Tsinghua University, and completed the business executive education program from Wharton Business School, University of Pennsylvania.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In 2025, we paid an aggregate of approximately RMB3.8 million (US$0.5 million) in cash to our directors and executive officers. Our PRC subsidiaries are required by law to make contributions equal to certain percentages of each employee’s salary for his or her pension insurance, medical insurance, unemployment insurance, employment injury insurance, maternity insurance and other statutory benefits and a housing provident fund.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If the executive officer otherwise fails to perform agreed duties, we may terminate employment upon one-week to 30-day advance written notice. We may also terminate an executive officer’s employment upon mutual agreement or 30-day advance written notice. In such case of termination by us, we will provide severance payments to the executive officer as expressly required by applicable law of the jurisdiction where the executive officer is based. Our executive officer may resign at any time upon mutual agreement or 30-day advance written notice.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expiration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information with economic value, including but not limited to inventions, works and software, which they conceive, develop or reduce to practice during the executive officer’s employment with us and one year following the last date of employment, and to assign all right, title and interest in them to us, and assist us in obtaining and enforcing patents, copyrights and other legal rights for information with economic value.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Awards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June 2023, our board of directors approved our 2023 Equity Incentive Plan, or the 2023 Plan, to provide incentives to employees, directors and consultants and promote the success of our business. The maximum number of shares that may be issued pursuant all awards under our 2023 Plan is 4,755,000 Class A ordinary shares (the “Awards”).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2023 Plan: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2023 Plan permits the awards of options, restricted shares, restricted share units that the plan administrator decides.</w:t>
      </w:r>
    </w:p>
    <w:p>
      <w:pPr>
        <w:spacing w:after="0" w:line="225"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compensation committee will administer the 2023 Plan. The compensation committee will determine the participants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awards, the time, type and number of awards to be granted to each participant, and the terms and conditions of each award grant.</w:t>
      </w:r>
    </w:p>
    <w:p>
      <w:pPr>
        <w:spacing w:after="0" w:line="15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2023 Plan are evidenced by an award agreement that sets forth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 of the award, the provisions applicable in the event of the grantee’s employment or service terminates, and our authority to unilaterally or bilaterally amend, modify, suspend, cancel or rescind the award.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 of our company or any of our affiliates.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relevant award agreement.</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per share for each award, which is stated in the award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no less than the par value of any such shares. The vested portion of option will expire if not exercised prior to the time as the plan administrator determines at the time of its grant. However, the maximum exercisable term is ten years from the date of a grant.</w:t>
      </w:r>
    </w:p>
    <w:p>
      <w:pPr>
        <w:spacing w:after="0" w:line="173"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2023 Plan or the relevant award agreement or otherwise determined by the plan administrator, such as transfers by will or the laws of descent and distribution.</w:t>
      </w:r>
    </w:p>
    <w:p>
      <w:pPr>
        <w:spacing w:after="0" w:line="17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Unless terminated earlier, the 2023 Plan has a term of ten years. The plan administrator has the authority to amend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 the 2023 Plan. Except with respect to amendments made by the plan administrator, no termination, amendment or modification may diminish any of the rights of the participant under any award pursuant to the 2023 Plan unless agreed by the participant.</w:t>
      </w:r>
    </w:p>
    <w:p>
      <w:pPr>
        <w:spacing w:after="0" w:line="17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there were 1,889,628 ordinary shares underlying outstanding options granted to our executive officers and employees under our 2023 Plan.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40"/>
          </w:cols>
          <w:pgMar w:left="320" w:top="482" w:right="5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Long-term Equity Incentive Plan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August 2022, our board of directors approved our 2022 Long-term Equity Incentive Plan, or the 2022 Plan, which was subsequently approved by our shareholders in the annual general meeting in September 2022. The 2022 Plan and the grant of the awards thereunder replaced our 2021 Long-term Equity Incentive Plan, or the 2021 Plan, and the share incentive awards granted thereunder, which were approved by our board of directors in November 2021 and shareholders in December 2021. Following the approval of the 2022 Plan, the 2021 Plan and all awards granted thereunder were automatically and immediately cancelled. The 2022 Plan will grant options to senior management and employees. The maximum number of shares that may be issued pursuant all awards under our 2022 Plan is 11,775,525 Class A ordinary shares (the “Awards”).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2022 Plan: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2022 Plan permits the awards of options.</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Allocation and Plan administration</w:t>
      </w:r>
      <w:r>
        <w:rPr>
          <w:rFonts w:ascii="Times New Roman" w:cs="Times New Roman" w:eastAsia="Times New Roman" w:hAnsi="Times New Roman"/>
          <w:sz w:val="18"/>
          <w:szCs w:val="18"/>
          <w:color w:val="auto"/>
        </w:rPr>
        <w:t>. As approved by our board of directors and shareholders, the Awards consist of three tranches of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“Pool I Awards”, “Pool II Awards” and “Pool III Awards”) and will be allocated as follows:</w:t>
      </w:r>
    </w:p>
    <w:p>
      <w:pPr>
        <w:spacing w:after="0" w:line="66" w:lineRule="exact"/>
        <w:rPr>
          <w:sz w:val="20"/>
          <w:szCs w:val="20"/>
          <w:color w:val="auto"/>
        </w:rPr>
      </w:pPr>
    </w:p>
    <w:p>
      <w:pPr>
        <w:ind w:left="1080" w:right="1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I Awards: 0 to Mr. Yusheng Han, our chairman and CEO; 60% to our other officers and employees; and the remaining 40% will be reserved for future grants to our officers and employees (none of the reserved portion will be granted to Mr. Han), details of which will be determined by the compensation committee.</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II Awards: 62.07% (or options to purchase 3,532,658 Class A ordinary shares) to Mr. Han; 22.76% to our other officers and employees; and the remaining 15.17% will be reserved for future grants to our officers and employees (none of the reserved portion will be granted to Mr. Han), details of which will be determined by the compensation committee.</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III Awards: 45% (or options to purchase 1,766,329 Class A ordinary shares) to Mr. Han; 33% to our other officers and employees; and the remaining 22% will be reserved for future grants to our officers and employees (none of the reserved portion will be granted to</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Han), details of which will be determined by the compensation committee.</w:t>
      </w:r>
    </w:p>
    <w:p>
      <w:pPr>
        <w:spacing w:after="0" w:line="205"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2022 Plan are evidenced by an award agreement that sets forth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 of the award, the provisions applicable in the event of the grantee’s employment or service terminates, and our authority to unilaterally or bilaterally amend, modify, suspend, cancel or rescind the award.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senior management and employees of our company under the 2022 Plan.</w:t>
      </w:r>
    </w:p>
    <w:p>
      <w:pPr>
        <w:spacing w:after="0" w:line="225"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The options will vest in three batches, consisting of (1) 2,158,846 Class A ordinary shares for the Pool I Awards, (2) 5,691,504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for the Pool II Awards, and (3) 3,925,175 Class A ordinary shares for the Pool III Awards. The Pool I Awards will vest as follows:</w:t>
      </w:r>
    </w:p>
    <w:p>
      <w:pPr>
        <w:spacing w:after="0" w:line="81" w:lineRule="exact"/>
        <w:rPr>
          <w:sz w:val="20"/>
          <w:szCs w:val="20"/>
          <w:color w:val="auto"/>
        </w:rPr>
      </w:pPr>
    </w:p>
    <w:p>
      <w:pPr>
        <w:jc w:val="both"/>
        <w:ind w:left="1080" w:right="160" w:hanging="532"/>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Pool I Awards will vest once (a) our valuation (based on the 60-day average closing share price of our publicly traded shares) reaches US$2 billion by the fifth anniversary of the grant date (the “Pool I valuation target”), and (b) the grantee remains employed by us at the time when the Pool I valuation target is achieved; and</w:t>
      </w:r>
    </w:p>
    <w:p>
      <w:pPr>
        <w:spacing w:after="0" w:line="81"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60% of the Pool I Awards will vest once (a) the Pool I valuation target has been achieved, (b) the grantee remains employed by us at the time when the Pool I valuation target is achieved, and (c) the grantee has been employed by us for five (5) years after the date of grant.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Pool II Awards will vest as follows:</w:t>
      </w:r>
    </w:p>
    <w:p>
      <w:pPr>
        <w:spacing w:after="0" w:line="131" w:lineRule="exact"/>
        <w:rPr>
          <w:sz w:val="20"/>
          <w:szCs w:val="20"/>
          <w:color w:val="auto"/>
        </w:rPr>
      </w:pPr>
    </w:p>
    <w:p>
      <w:pPr>
        <w:ind w:left="1080" w:right="60" w:hanging="532"/>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Pool II Awards will vest once (a) our valuation (based on the 60-day average closing share price of our publicly traded shares) reaches US$4 billion by the seventh anniversary of the grant date (the “Pool II valuation target”), and (b) the grantee remains employed by us at the time when the Pool II valuation target is achieved, and</w:t>
      </w:r>
    </w:p>
    <w:p>
      <w:pPr>
        <w:spacing w:after="0" w:line="81"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60% of the Pool II Awards will vest once (a) the Pool II valuation target has been achieved, (b) the grantee remains employed by us at the time when the Pool II valuation target is achieved, and (c) the grantee has been employed by us for five (5) years after the date of grant.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Pool III Awards will vest as follows:</w:t>
      </w:r>
    </w:p>
    <w:p>
      <w:pPr>
        <w:spacing w:after="0" w:line="131" w:lineRule="exact"/>
        <w:rPr>
          <w:sz w:val="20"/>
          <w:szCs w:val="20"/>
          <w:color w:val="auto"/>
        </w:rPr>
      </w:pPr>
    </w:p>
    <w:p>
      <w:pPr>
        <w:ind w:left="1080" w:right="80" w:hanging="532"/>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Pool III Awards will vest once (a) our valuation (based on the 60-day average closing share price of our publicly traded shares) reaches US$10 billion by the seventh anniversary of the grant date (the “Pool III valuation target”), and (b) the grantee remains employed by us at the time when the Pool III valuation target is achieved, and;</w:t>
      </w:r>
    </w:p>
    <w:p>
      <w:pPr>
        <w:spacing w:after="0" w:line="81"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60% of the Pool III Awards will vest once (a) the Pool III valuation target has been achieved, (b) the grantee remains employed by us at the time when the Pool III valuation target is achieved, and (c) the grantee has been employed by us for five (5) years after the date of grant.</w:t>
      </w:r>
    </w:p>
    <w:p>
      <w:pPr>
        <w:spacing w:after="0" w:line="174"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grantee can exercise the vested portion of options granted under our 2022 Plan at any time but no more than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grant date. The exercise price of the Awards shall be US$3.33 per share, which is equivalent to our 60-day average closing share price immediately prior to September 8, 2022, the date of shareholder approval.</w:t>
      </w:r>
    </w:p>
    <w:p>
      <w:pPr>
        <w:spacing w:after="0" w:line="17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Plan or the relevant award agreement or otherwise determined by the Compensation Committee, such as transfers by will or the laws of descent and distribution.</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w:t>
      </w:r>
      <w:r>
        <w:rPr>
          <w:rFonts w:ascii="Times New Roman" w:cs="Times New Roman" w:eastAsia="Times New Roman" w:hAnsi="Times New Roman"/>
          <w:sz w:val="18"/>
          <w:szCs w:val="18"/>
          <w:color w:val="auto"/>
        </w:rPr>
        <w:t>Our board of directors has the authority to amend or terminate the 2022 Plan, but no amendments, alternation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discontinuation made by the board of director, (a) without the approval (but only to extent such approval is required by the principal national securities exchange on which the shares are listed or admitted to trading, and subject to certain other exceptions) of the shareholders of our company, if such action would increase the total number of shares reserved for the purposes of our 2022 Plan or change the maximum number of shares for which awards may be granted to any participant under the 2022 Plan, (b) such action may diminish any of the rights of the participant under any award pursuant to the 2022 Plan unless agreed by the participant. In addition, the Allocated Awards can only be amended at a shareholders’ general meeting, at which meeting our C-level officers and/or entities they beneficially own shall abstain from voting.</w:t>
      </w:r>
    </w:p>
    <w:p>
      <w:pPr>
        <w:spacing w:after="0" w:line="18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there were 8,124,010 ordinary shares underlying outstanding options granted to our executive officers and employees under our 2022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Share Incentive Plan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May 2020, our board of directors and shareholders approved our 2020 Share Incentive Plan, or the 2020 Plan, to provide incentives to employees, directors and consultants and promote the success of our business. The maximum number of ordinary shares that may be issued pursuant to all awards under our 2020 Plan is 4,512,276 ordinary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2020 Plan:</w:t>
      </w:r>
    </w:p>
    <w:p>
      <w:pPr>
        <w:spacing w:after="0" w:line="223" w:lineRule="exact"/>
        <w:rPr>
          <w:sz w:val="20"/>
          <w:szCs w:val="20"/>
          <w:color w:val="auto"/>
        </w:rPr>
      </w:pPr>
    </w:p>
    <w:p>
      <w:pPr>
        <w:jc w:val="center"/>
        <w:ind w:right="220"/>
        <w:spacing w:after="0" w:line="456" w:lineRule="auto"/>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2020 Plan permits the awards of options, restricted shares, restricted share units that the plan administrator decides.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compensation committee will administer the 2020 Plan. The compensation committee will determine the participants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awards, the time, type and number of awards to be granted to each participant, and the terms and conditions of each award grant.</w:t>
      </w:r>
    </w:p>
    <w:p>
      <w:pPr>
        <w:spacing w:after="0" w:line="158"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2020 Plan are evidenced by an award agreement that sets forth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 of the award, the provisions applicable in the event of the grantee’s employment or service terminates, and our authority to unilaterally or bilaterally amend, modify, suspend, cancel or rescind the award.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 of our company or any of our affiliates.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relevant award agreement.</w:t>
      </w:r>
    </w:p>
    <w:p>
      <w:pPr>
        <w:spacing w:after="0" w:line="225"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per share for each award, which is stated in the award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no less than the par value of any such shares. The vested portion of option will expire if not exercised prior to the time as the plan administrator determines at the time of its grant. However, the maximum exercisable term is ten years from the date of a grant.</w:t>
      </w:r>
    </w:p>
    <w:p>
      <w:pPr>
        <w:spacing w:after="0" w:line="173" w:lineRule="exact"/>
        <w:rPr>
          <w:sz w:val="20"/>
          <w:szCs w:val="20"/>
          <w:color w:val="auto"/>
        </w:rPr>
      </w:pPr>
    </w:p>
    <w:p>
      <w:pPr>
        <w:jc w:val="both"/>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2020 Plan or the relevant award agreement or otherwise determined by the plan administrator, such as transfers by will or the laws of descent and distribution.</w:t>
      </w:r>
    </w:p>
    <w:p>
      <w:pPr>
        <w:spacing w:after="0" w:line="17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Unless terminated earlier, the 2020 Plan has a term of ten years. The plan administrator has the authority to amend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 the 2020 Plan. Except with respect to amendments made by the plan administrator, no termination, amendment or modification may diminish any of the rights of the participant under any award pursuant to the 2020 Plan unless agreed by the participant.</w:t>
      </w:r>
    </w:p>
    <w:p>
      <w:pPr>
        <w:spacing w:after="0" w:line="17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restricted share units to receive less than 1% of our total ordinary shares outstanding as of the same date were vested to our independent director and remained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Share Incentive Awards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also granted options to our directors, officers and employees other than under our 2020 Plan, 2022 Plan and 2023 Plan. As of March 31, 2026, there were 4,240,779 ordinary shares underlying outstanding options granted to our directors, officers and employees outside our 2020 Plan, 2022 Plan and 2023 Plan. These options bear a per share exercise price of US$0.0002 or US$13.6184, and will expire between September 30, 2025 and January 31, 2032.</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December 2020, we issued an aggregate of 743,955 restricted shares at purchase prices between US$13.2000 and US$20.0229 per share to certain employees. These restricted shares are subject to a three-year lock-up period. By August 2023, we had repurchased all these shares from these employees.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Board Practice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consists of six directors. A director is not required to hold any shares in our company by way of qualification. A director may vote with respect to any contract, proposed contract or arrangement in which he is materially interested, provided that (a) such director, if his or her interest in such contract or arrangement is material, has declared the nature of his or her interest at the earliest meeting of the board at which it is practicable for him or her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We have adopted a charter for each of these committees. Each committee’s members and functions are described below.</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Ms. Wendy Hayes and Dr. Licen Lisa Xu. Ms. Wendy Hayes is the chairman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Ms. Wendy Hayes and Dr. Licen Lisa Xu each satisfies the “independence” requirements of Rule 5605(c)(2) of the Listing Rules of the Nasdaq Stock Market and meets the independence standards under Rule 10A-3 under the Exchange Act, as amended. We have determined that Ms. Wendy Hayes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1" w:lineRule="exact"/>
        <w:rPr>
          <w:sz w:val="20"/>
          <w:szCs w:val="20"/>
          <w:color w:val="auto"/>
        </w:rPr>
      </w:pPr>
    </w:p>
    <w:p>
      <w:pPr>
        <w:ind w:left="1080" w:right="8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Mr. Yusheng Han, Mr. Feng Deng and Dr. Licen Lisa Xu. Mr. Yusheng Han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chairman of our compensation committee.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87" w:lineRule="exact"/>
        <w:rPr>
          <w:sz w:val="20"/>
          <w:szCs w:val="20"/>
          <w:color w:val="auto"/>
        </w:rPr>
      </w:pPr>
    </w:p>
    <w:p>
      <w:pPr>
        <w:ind w:left="1080" w:right="5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82"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Gang Lu, Ms. Wendy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Hayes and Mr. Yusheng Han. Mr. Gang Lu is the chairman of our nomination committee. We have determined that Ms. Wendy Hayes satisfies the “independence” requirements of the Listing Rules of the Nasdaq Stock Market. The nominating and corporate governance committee assists the board in selecting individuals qualified to become our directors, and determining the composition of the board and its committees. The nominating and corporate governance committee is responsible for, among other things:</w:t>
      </w:r>
    </w:p>
    <w:p>
      <w:pPr>
        <w:spacing w:after="0" w:line="9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skills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18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5480" w:right="1620" w:hanging="4824"/>
        <w:spacing w:after="0" w:line="454" w:lineRule="auto"/>
        <w:tabs>
          <w:tab w:leader="none" w:pos="107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 126</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directors may be elected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One-third of our directors (or, if the number of our directors is not a multiple of three, the number nearest to but not greater than one-third) will retire from office by rotation at each annual general meeting.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2024 and 2025, we had 786, 674 and 667 employees, respectively. Most of our employees are located in China, with a small number located in the United States. The following table sets forth the number of our employees by function as of December 31, 2025.</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142"/>
        </w:trPr>
        <w:tc>
          <w:tcPr>
            <w:tcW w:w="554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7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Total Employees</w:t>
            </w:r>
          </w:p>
        </w:tc>
        <w:tc>
          <w:tcPr>
            <w:tcW w:w="200" w:type="dxa"/>
            <w:vAlign w:val="bottom"/>
          </w:tcPr>
          <w:p>
            <w:pPr>
              <w:spacing w:after="0"/>
              <w:rPr>
                <w:sz w:val="12"/>
                <w:szCs w:val="12"/>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Functions:</w:t>
            </w: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2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Medical Affairs</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Operations and Quality Assurance</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2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2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2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5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2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required by PRC laws and regulations, we participate in various employee social security plans that are organized by municipal and provincial governments, including pension, medical insurance and unemployment insurance and housing fund. We are required under PRC laws to make contributions to employee benefit plans at specified percentages of the salaries, bonuses and certain allowances of our employees, up to a maximum amount specified by the local government from time to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by:</w:t>
      </w:r>
    </w:p>
    <w:p>
      <w:pPr>
        <w:spacing w:after="0" w:line="112"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105,463,429 ordinary shares issued and outstanding as of March 31, 2026, comprising (i) 88,138,581 Class A ordinary shares, excluding (a) 371,068 Class A ordinary shares issued to our depositary bank for bulk issuance of ADSs reserved for future issuances upon the exercise or vesting of awards granted under share incentive plans, and (b) 3,023,138 Class A Ordinary Shares as treasury stock, and (ii) 17,324,848 Class B ordinary shares.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82"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12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1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2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Total Ordinary</w:t>
            </w:r>
          </w:p>
        </w:tc>
        <w:tc>
          <w:tcPr>
            <w:tcW w:w="12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of Aggregate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26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Voting Power††</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Directors and Executive Officers**:</w:t>
            </w: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Yusheng Han</w:t>
            </w:r>
            <w:r>
              <w:rPr>
                <w:rFonts w:ascii="Times New Roman" w:cs="Times New Roman" w:eastAsia="Times New Roman" w:hAnsi="Times New Roman"/>
                <w:sz w:val="25"/>
                <w:szCs w:val="25"/>
                <w:color w:val="auto"/>
                <w:vertAlign w:val="superscript"/>
              </w:rPr>
              <w:t>(1)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3,911,668</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17,324,848</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21,236,516</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Zhihong (Joe) Zhang</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1,227,768</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1,227,768</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Xiaozhi Hu</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Gang Lu</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Feng Deng</w:t>
            </w:r>
            <w:r>
              <w:rPr>
                <w:rFonts w:ascii="Times New Roman" w:cs="Times New Roman" w:eastAsia="Times New Roman" w:hAnsi="Times New Roman"/>
                <w:sz w:val="25"/>
                <w:szCs w:val="25"/>
                <w:color w:val="auto"/>
                <w:vertAlign w:val="superscript"/>
              </w:rPr>
              <w:t>(2)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11,880,245</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11,880,245</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Wendy Hayes</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Licen Lisa Xu</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17,092,334</w:t>
            </w:r>
          </w:p>
        </w:tc>
        <w:tc>
          <w:tcPr>
            <w:tcW w:w="1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17,324,848</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34,417,182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Shareholders: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Quantum Boundary Holdings Limited</w:t>
            </w:r>
            <w:r>
              <w:rPr>
                <w:rFonts w:ascii="Times New Roman" w:cs="Times New Roman" w:eastAsia="Times New Roman" w:hAnsi="Times New Roman"/>
                <w:sz w:val="25"/>
                <w:szCs w:val="25"/>
                <w:color w:val="auto"/>
                <w:vertAlign w:val="superscript"/>
              </w:rPr>
              <w:t>(1)</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3,911,668</w:t>
            </w:r>
          </w:p>
        </w:tc>
        <w:tc>
          <w:tcPr>
            <w:tcW w:w="1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17,324,848</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21,236,516</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Northern Light Venture Capital III, Ltd.</w:t>
            </w:r>
            <w:r>
              <w:rPr>
                <w:rFonts w:ascii="Times New Roman" w:cs="Times New Roman" w:eastAsia="Times New Roman" w:hAnsi="Times New Roman"/>
                <w:sz w:val="25"/>
                <w:szCs w:val="25"/>
                <w:color w:val="auto"/>
                <w:vertAlign w:val="superscript"/>
              </w:rPr>
              <w:t>(3)</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11,880,245</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11,880,245</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LYFE Capital</w:t>
            </w:r>
            <w:r>
              <w:rPr>
                <w:rFonts w:ascii="Times New Roman" w:cs="Times New Roman" w:eastAsia="Times New Roman" w:hAnsi="Times New Roman"/>
                <w:sz w:val="25"/>
                <w:szCs w:val="25"/>
                <w:color w:val="auto"/>
                <w:vertAlign w:val="superscript"/>
              </w:rPr>
              <w:t>(4)</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8,338,381</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8,338,381</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Sequoia Capital China</w:t>
            </w:r>
            <w:r>
              <w:rPr>
                <w:rFonts w:ascii="Times New Roman" w:cs="Times New Roman" w:eastAsia="Times New Roman" w:hAnsi="Times New Roman"/>
                <w:sz w:val="25"/>
                <w:szCs w:val="25"/>
                <w:color w:val="auto"/>
                <w:vertAlign w:val="superscript"/>
              </w:rPr>
              <w:t>(5)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6,846,567</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6,846,567</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Investment funds affiliated with CMB</w:t>
            </w:r>
            <w:r>
              <w:rPr>
                <w:rFonts w:ascii="Times New Roman" w:cs="Times New Roman" w:eastAsia="Times New Roman" w:hAnsi="Times New Roman"/>
                <w:sz w:val="25"/>
                <w:szCs w:val="25"/>
                <w:color w:val="auto"/>
                <w:vertAlign w:val="superscript"/>
              </w:rPr>
              <w:t>(6)</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7,017,385</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7,017,385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5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Kynam Capital Management, LP</w:t>
            </w:r>
            <w:r>
              <w:rPr>
                <w:rFonts w:ascii="Times New Roman" w:cs="Times New Roman" w:eastAsia="Times New Roman" w:hAnsi="Times New Roman"/>
                <w:sz w:val="26"/>
                <w:szCs w:val="26"/>
                <w:color w:val="auto"/>
                <w:vertAlign w:val="superscript"/>
              </w:rPr>
              <w:t>(7)</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9,948,830</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9,948,830</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ordinary shares outstanding as of March 31, 2026.</w:t>
      </w:r>
    </w:p>
    <w:p>
      <w:pPr>
        <w:spacing w:after="0" w:line="27" w:lineRule="exact"/>
        <w:rPr>
          <w:sz w:val="20"/>
          <w:szCs w:val="20"/>
          <w:color w:val="auto"/>
        </w:rPr>
      </w:pPr>
    </w:p>
    <w:p>
      <w:pPr>
        <w:ind w:left="540" w:right="2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below, the business address of our directors and executive officers is No. 5, Xingdao Ring Road North, International Bio Island, Guangzhou, China.</w:t>
      </w:r>
    </w:p>
    <w:p>
      <w:pPr>
        <w:spacing w:after="0" w:line="1" w:lineRule="exact"/>
        <w:rPr>
          <w:sz w:val="20"/>
          <w:szCs w:val="20"/>
          <w:color w:val="auto"/>
        </w:rPr>
      </w:pPr>
    </w:p>
    <w:p>
      <w:pPr>
        <w:ind w:left="540" w:right="10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an option, warrant or other right within 60 days after March 31, 2026.</w:t>
      </w:r>
    </w:p>
    <w:p>
      <w:pPr>
        <w:spacing w:after="0" w:line="1" w:lineRule="exact"/>
        <w:rPr>
          <w:sz w:val="20"/>
          <w:szCs w:val="20"/>
          <w:color w:val="auto"/>
        </w:rPr>
      </w:pPr>
    </w:p>
    <w:p>
      <w:pPr>
        <w:ind w:left="540" w:right="16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six votes per share on all matters submitted to them for a vote. Our Class A ordinary shares and Class B ordinary shares vote together as a single class on all matters submitted to a vote of our</w:t>
      </w:r>
    </w:p>
    <w:p>
      <w:pPr>
        <w:spacing w:after="0" w:line="2" w:lineRule="exact"/>
        <w:rPr>
          <w:sz w:val="20"/>
          <w:szCs w:val="20"/>
          <w:color w:val="auto"/>
        </w:rPr>
      </w:pPr>
    </w:p>
    <w:p>
      <w:pPr>
        <w:ind w:left="540" w:right="500"/>
        <w:spacing w:after="0" w:line="250" w:lineRule="auto"/>
        <w:rPr>
          <w:sz w:val="20"/>
          <w:szCs w:val="20"/>
          <w:color w:val="auto"/>
        </w:rPr>
      </w:pPr>
      <w:r>
        <w:rPr>
          <w:rFonts w:ascii="Times New Roman" w:cs="Times New Roman" w:eastAsia="Times New Roman" w:hAnsi="Times New Roman"/>
          <w:sz w:val="18"/>
          <w:szCs w:val="18"/>
          <w:color w:val="auto"/>
        </w:rPr>
        <w:t>shareholders, except as may otherwise be required by law. Our Class B ordinary shares are convertible at any time by the holder thereof into Class A ordinary shares on a one-for-one basis.</w:t>
      </w:r>
    </w:p>
    <w:p>
      <w:pPr>
        <w:spacing w:after="0" w:line="1"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3,539,186 Class A Ordinary Shares directly held by Quantum Boundary Holdings Limited, a British Virgin Island company,</w:t>
      </w:r>
    </w:p>
    <w:p>
      <w:pPr>
        <w:spacing w:after="0" w:line="9" w:lineRule="exact"/>
        <w:rPr>
          <w:rFonts w:ascii="Times New Roman" w:cs="Times New Roman" w:eastAsia="Times New Roman" w:hAnsi="Times New Roman"/>
          <w:sz w:val="18"/>
          <w:szCs w:val="18"/>
          <w:color w:val="auto"/>
        </w:rPr>
      </w:pPr>
    </w:p>
    <w:p>
      <w:pPr>
        <w:ind w:left="54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147,996 Class A ordinary shares issuable to Mr. Yusheng Han upon exercise of options within 60 days of March 31, 2025, and (iii) 17,324,848 Class B ordinary shares directly held by Quantum Boundary Holdings Limited. Quantum Boundary Holdings Limited is indirectly wholly owned and ultimately controlled by a family trust, a trust established under the laws of the Republic of Singapore and managed by J.P. Morgan Trust Company (Singapore) Pte. Ltd as the trustee. Mr. Han is the settlor of the trust. Mr. Han and his family members are the beneficiaries of the trust. The register address of Quantum Boundary Holdings Limited is at Vistra Corporate Services Centre, Wickhams Cay II, Road Town, Tortola, VG1110, British Virgin Islands.</w:t>
      </w:r>
    </w:p>
    <w:p>
      <w:pPr>
        <w:spacing w:after="0" w:line="2"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listed in footnote (3) below. For purpose of this section, Mr. Feng Deng, one of our directors, beneficially owns the shares held by Northern Light Venture Capital III, Ltd.</w:t>
      </w:r>
    </w:p>
    <w:p>
      <w:pPr>
        <w:ind w:left="540" w:right="20" w:hanging="424"/>
        <w:spacing w:after="0" w:line="251"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10,542,529 Class A ordinary shares held by Northern Light Venture Fund III, L.P., or NLVF III, a Cayman Islands exempted limited liability partnership, (ii) 1,188,025 Class A ordinary shares held by Northern Light Strategic Fund III, L.P., or NLSF III, a Cayman Islands exempted limited liability partnership, and (iii) 149,691 Class A ordinary shares held by Northern Light Partners Fund III, L.P., or NLPF III, a Cayman Islands exempted limited liability partnership, as reported in the Schedule 13G filed on February 13, 2023. Northern Light Venture Capital III, Ltd., or NLVC, is the general partner of Northern Light Partners III, L.P., which in turn is the general partner of NLVF III, NLSF III and NLPF III. NLVC and Feng Deng, a director of NLVC, may be deemed to beneficially own the shares owned by NLVF III, NLSF III and NLPF III. The registered addresses of NLVC, NLVF III, NLSF III and NLPF III are Floor 4, Willow House, Cricket Square, Grand Cayman, KY1-9010, Cayman Islands.</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82"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6,013,684 Class A ordinary shares (in the form of ADSs) held by LYFE Capital Stone (Hong Kong) Limited, a Hong Kong private company limited by shares, (ii) 1,597,425 Class A ordinary shares (in the form of ADSs) held by LYFE Mount Whitney Limited, a Hong Kong private company limited by shares, and (iii) 727,272 Class A ordinary shares (in the form of ADSs) represented by 727,272 ADSs held by LYFE Capital Fund II, L.P., a Cayman Islands partnership, as reported in the Schedule 13G filed on February 7, 2022. LYFE Capital Stone (Hong Kong) Limited is owned by LYFE Capital Fund, L.P., and LYFE Capital Fund—A, L.P. LYFE Mount Whitney Limited is owned by LYFE Capital Fund II, L.P., Pantheon Access Co-investment Program, L.P.—Series 81 and Pantheon International PLC. LYFE Capital GP, L.P. is the general partner of LYFE Capital Fund, L.P. LYFE Capital GP II, L.P. is the general partner of LYFE Capital Fund II, L.P. LYFE Capital Management Limited is, in turn, the general partner of LYFE Capital GP, L.P. and LYFE Capital GP II, L.P. Mr. Jin Zhao and Mr. Zhengkun Yu, through their control over LYFE Capital Management Limited, share the voting and investment power with respect to all of our shares held by LYFE Capital Stone (Hong Kong) Limited and LYFE Mount Whitney Limited. LYFE Capital Fund II, L.P is an affiliate of LYFE Mount Whitney Limited. The registered address of LYFE Capital Stone (Hong Kong) Limited is Suite 1113A, 11/F, Ocean Centre, Harbour City, 5 Canton Road, Tsim Sha Tsui, Kowloon, Hong Kong. The registered address of LYFE Mount Whitney Limited is Suite 1113A, 11/F, Ocean Centre, Harbour City, 5 Canton Road, Tsim Sha Tsui, Kowloon, Hong Kong.</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3,004,874 Class A ordinary shares held by HSG Venture V Holdco I, Ltd., an exempted company with limited liability incorporated under the law of the Cayman Islands, (ii) 3,840,808 Class A ordinary shares (including 212,121 Class A ordinary shares in the form of ADSs) held by HSG Venture VI Holdco, Ltd., an exempted company with limited liability incorporated under the law of the Cayman Islands, and (iii) 885 Class A ordinary shares held by Mr. Neil Nanpeng Shen, as reported in the Schedule 13G filed on February 14, 2024. HSG Venture V Holdco I, Ltd. is wholly-owned by HongShan Capital Venture Fund V, L.P. The general partner of HongShan Capital Venture Fund V, L.P. is HSG Venture V Management, L.P., whose general partner is HSG Holding Limited. HSG Venture VI Holdco, Ltd. is wholly-owned by HongShan Capital Venture Fund VI, L.P. The general partner of HongShan Capital Venture Fund VI, L.P. is HSG Venture VI Management, L.P., whose general partner is HSG Holding Limited. HSG Holding Limited is wholly-owned by SNP China Enterprises Limited, which in turn is wholly-owned by Mr. Neil Nanpeng Shen. The registered address of SCC Venture V Holdco I, Ltd. and SCC Venture VI Holdco, Ltd. is Maples Corporate Services Limited, PO Box 309, Ugland House, Grand Cayman, KY1-1104, Cayman Islands. The address for Mr. Shen is Suite 3613, 36/F Two Pacific Place, 88 Queensway, Hong Kong.</w:t>
      </w:r>
    </w:p>
    <w:p>
      <w:pPr>
        <w:spacing w:after="0" w:line="4"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5,964,435 Class A ordinary shares (including 3,829,927 Class A ordinary shares in the form of ADSs) held by EverGreen SeriesC Limited Partnership, a Cayman Islands exempted limited partnership, and (ii) 1,052,950 Class A ordinary shares (including 800,000 Class A ordinary shares in the form of ADSs) held by CMBI Private Equity Series SPC on behalf of and for the account of Biotechnology Fund IV SP, a segregated portfolio company incorporated under the law of Cayman Islands, whose management shares wholly owned by CMB International Private Investment Limited, an exempted company with limited liability incorporated under the law of Cayman Islands, as reported in the Schedule 13G filed on February 13, 2023. CMB International Private Investment Limited is also the general partner of EverGreen SeriesC Limited Partnership, and holds voting and dispositive power of the shares held by EverGreen SeriesC Limited Partnership. CMB International Private Investment Limited is ultimately controlled by China Merchants Bank Co., Limited (HKEX: 3968). The registered address of CMBI Private Equity Series SPC and EverGreen SeriesC Limited Partnership is the offices of Harneys Fiduciary (Cayman) Limited of 4th Floor, Harbour Place, 103 South Church Street, P.O. Box 10240, Grand Cayman KY1-1002, Cayman Islands.</w:t>
      </w:r>
    </w:p>
    <w:p>
      <w:pPr>
        <w:spacing w:after="0" w:line="3"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9,948,830 Class A ordinary shares (in the form of ADSs) held by Kynam Capital Management, LP, as reported in the Schedule 13G filed on September 30, 2025. Kynam Capital Management, LP is a Delaware company and its address is 221 Elm Road. Princeton, NJ 08540, U.S.</w:t>
      </w:r>
    </w:p>
    <w:p>
      <w:pPr>
        <w:spacing w:after="0" w:line="18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our knowledge, as of March 31, 2026, 58,989,558 issued and outstanding Class A ordinary shares, representing approximately 55.9% of our total issued and outstanding ordinary shares, were held by three record shareholders with registered addresses in the United States. None of our outstanding Class B ordinary shares are held by record holders in the United States. The number of beneficial owners of our ADSs in the United States is likely to be much larger than the number of record holders of our ordinary shares in the United States.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82"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Disclosure of Registrant’s Action to Recover Erroneously Awarded Compensation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adopted a policy relating to recovery of erroneously awarded compensation (the “Clawback Policy”), a form of which is included as Exhibit 97.1 attached herein.</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During or after the year ended December 31, 2025, we were not required to prepare an accounting restatement that required recovery of erroneously awarded compensation pursuant to the Clawback Policy. As of December 31, 2025, there was no outstanding balance of erroneously awarded compensation to be recovered from the application of the Clawback Policy to a prior restatement.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Our Variable Interest Entities and Their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Structure—Contractual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fifth amended and restated shareholders agreement dated January 10, 2020, we have granted certain registration rights to holders of our then preferred shares. Set forth below is a description of the registration rights granted under the agreement.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Demand Registration Right</w:t>
      </w:r>
      <w:r>
        <w:rPr>
          <w:rFonts w:ascii="Times New Roman" w:cs="Times New Roman" w:eastAsia="Times New Roman" w:hAnsi="Times New Roman"/>
          <w:sz w:val="18"/>
          <w:szCs w:val="18"/>
          <w:color w:val="auto"/>
        </w:rPr>
        <w:t>. At any time after the earlier of (i) the five (5) year after the closing of Series A+ financing (i.e. August 27, 2015) or</w:t>
      </w:r>
    </w:p>
    <w:p>
      <w:pPr>
        <w:spacing w:after="0" w:line="29" w:lineRule="exact"/>
        <w:rPr>
          <w:sz w:val="20"/>
          <w:szCs w:val="20"/>
          <w:color w:val="auto"/>
        </w:rPr>
      </w:pPr>
    </w:p>
    <w:p>
      <w:pPr>
        <w:ind w:left="120" w:hanging="4"/>
        <w:spacing w:after="0" w:line="251" w:lineRule="auto"/>
        <w:tabs>
          <w:tab w:leader="none" w:pos="3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(6) months following the taking effect of a registration statement of an IPO, holder(s) together holding ten percent (10%) or more of the outstanding registrable securities may request in writing that we file a registration statement under Securities Act covering at least fifteen percent (15%) of the registrable securities. Within twenty (20) days after receipt of such a request, we shall use our best efforts to effect a registration of the registrable securities specified in the request, together with any registrable securities of any holder who requests in writing to join such registration. We are not be obligated to effect more than three (3) such registrations pursuant to the demand registration right, and we are not obligated to register registrable securities if we have, within the six-month period preceding the date of such request, effected a registration under the Securities Act pursuant to the exercise of the holders’ demand registration rights or Form F-3 registration right, or in which the holders had an opportunity to participate in a piggyback registration, unless the registrable securities of the holders were excluded from such registration. In addition, we have the right to defer filing of a registration statement for a period up to ninety (90) days after receipt of such request if, in the good faith judgment of our board of directors, the filing of a registration statement would be materially detrimental to us and our shareholders, but we cannot exercise this right more than once in any twelve-month period. Neither can we register any other of our shares during such twelve-month period.</w:t>
      </w:r>
    </w:p>
    <w:p>
      <w:pPr>
        <w:spacing w:after="0" w:line="19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Piggyback Registration Right</w:t>
      </w:r>
      <w:r>
        <w:rPr>
          <w:rFonts w:ascii="Times New Roman" w:cs="Times New Roman" w:eastAsia="Times New Roman" w:hAnsi="Times New Roman"/>
          <w:sz w:val="18"/>
          <w:szCs w:val="18"/>
          <w:color w:val="auto"/>
        </w:rPr>
        <w:t>. If we propose to file a registration statement under the Securities Act for purposes of effecting a public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securities (including registration statements relating to secondary offerings of our securities, but excluding registration statements relating to a demand registration or a piggyback registration, or to any employee benefit plan or a corporate reorganization), we must afford holders of registrable securities an opportunity to include in that registration all or any part of their registrable securities then held.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82"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Registration on Form F-3</w:t>
      </w:r>
      <w:r>
        <w:rPr>
          <w:rFonts w:ascii="Times New Roman" w:cs="Times New Roman" w:eastAsia="Times New Roman" w:hAnsi="Times New Roman"/>
          <w:sz w:val="18"/>
          <w:szCs w:val="18"/>
          <w:color w:val="auto"/>
        </w:rPr>
        <w:t>. Any holder of registrable securities may request us in writing to effect a registration on the Form F-3 (or an equivalent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in a jurisdiction outside of the U.S.) and any related qualification or compliance with respect to the registrable securities owned by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Upon such request, we shall cause the registrable securities specified in the request, together with any registrable securities of any holder who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requests in writing to join such registration, to be registered and effect any related qualification or compliance, provided that (i) Form F-3 is available for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offering by the holder, (ii) the registrable securities proposed to be sold to the public has an aggregate price in an amount of not less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US$500,000, and (iii) in no jurisdiction in which we would be required to qualify to do business or to execute a general consent to service of process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effecting such registration, qualification or compliance. We are not obligated to register registrable securities if we have, within the six-month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preceding the date of such request, effected a registration under the Securities Act, unless the registrable securities of the holders were excluded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registration. In addition, we have the right to defer filing of the Form F-3 registration statement no more than once during any twelve-month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for a period up to sixty (60) days after receipt of such request if, in the good faith judgment of our board of directors, the filing of a registration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 would be materially detrimental to us and our shareholders, provided that we will not register any other of our shares during such sixty-day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w:t>
      </w:r>
    </w:p>
    <w:p>
      <w:pPr>
        <w:spacing w:after="0" w:line="20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pay all expenses relating to registration, fillings or qualifications, with certain limited exception,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participating in a registration will bear its proportionate share of all selling expenses or other amounts payable to underwriters or brokers, if any, in connection with the offering by such holder.</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Such registration rights would terminate upon the earlier of (i) the date that is five (5) years after the closing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initial public offering in June 2020, or (ii) such time at which all registrable securities held by the holders of our then preferred shares may be sold without restriction under Rule 144(k) of the Securities Act within a ninety-day period.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Awards.”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Interest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We are currently not a party to, and we are not aware of any threat of, any legal or administrative proceedings that, in the opinion of our management, are likely to have any material and adverse effect on our business, financial condition, cash-flow or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We do not have any present plan to pay any cash dividends on our ordinary shares in the foreseeable future. We currently intend to retain most, if not all, of our available funds and any future earnings to operate and expand our business.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our ADSs to the depositary, as the registered holder of such Class A ordinary shares, and the depositary then will pay such amounts to our ADS holders in proportion to the underlying Class A ordinary shares represented by the ADSs held by such ADS holders, subject to the terms of the deposit agreement, including the fees and expenses payable thereunder. Cash dividends on our ordinary shares, if any, will be paid in U.S. dollars.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Offering and Listing Details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ADSs have been listed on the NASDAQ Global Market since June 12, 2020 and the London Stock Exchange from November 1, 2022 to September 18, 2024, on both exchanges under the symbol “BNR.” In 2023, 2024 and 2024, no significant trading suspensions occurred. Effective on May 15, 2024, the ratio of ADSs to our Class A ordinary shares was changed from one ADS representing one Class A ordinary share to one ADS representing ten Class A ordinary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ADSs have been traded on the NASDAQ Global Market since June 12, 2020 and the London Stock Exchange since November 1, 2022, on both exchanges under the symbol “BNR.” We voluntarily cancelled the admission to trading of our ADSs from the London Stock Exchange, effective on September 18, 2024. Upon completion of the delisting, our ADSs were no longer quoted or traded on the London Stock Exchange and are only listed on the NASDAQ Global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82"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Expense of the Issue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tenth amended and restated memorandum and articles of association, as currently in effect, insofar as they relate to the material terms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Holders of Class A ordinary shares and Class B ordinary shares will have the same rights except for voting and conversion rights.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outstanding ordinary shares are fully paid and non-assessable. Certificates representing the ordinary shares are issued in registered form. Our shareholders who are non-residents of the Cayman Islands may freely hold and transfer their ordinary shares.</w:t>
      </w:r>
    </w:p>
    <w:p>
      <w:pPr>
        <w:spacing w:after="0" w:line="17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Each Class B ordinary share is convertible into one (1) Class A ordinary share at any time by the holder thereof.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not convertible into Class B ordinary shares under any circumstances. Upon any sale, transfer, assignment or disposition of any Class B ordinary share by a holder thereof to any person who is not an affiliate of such holder, or upon a change of control of any Class B ordinary share to any person who is not an affiliate of the registered shareholder of such Class B ordinary share, such Class B ordinary share shall be automatically and immediately converted into one Class A ordinary share. Furthermore, each Class B ordinary share will be automatically converted into one Class A ordinary share, if (i) at any time the holder thereof and the affiliates of such holder collectively hold less than 5% of the total number of our issued and outstanding shares, or (ii) at any time the holder thereof and the affiliates of such holder collectively hold less than 8.5% of the total number of our issued and outstanding shares and the holder thereof is no longer providing services to us in a position equivalent to or above vice president.</w:t>
      </w:r>
    </w:p>
    <w:p>
      <w:pPr>
        <w:spacing w:after="0" w:line="185"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Our current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Holders of Class A ordinary shares and Class B ordinary shares will be entitled to the same amount of dividends, if declared.</w:t>
      </w:r>
    </w:p>
    <w:p>
      <w:pPr>
        <w:spacing w:after="0" w:line="17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Class A ordinary shares and Class B ordinary shares shall, at all times, vote together as one class on all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submitted to a vote by the members. Each Class A ordinary share shall be entitled to one vote on all matters subject to vote at general and special meetings of our company and each Class B ordinary share shall be entitled to six (6) votes on all matters subject to vote at general and special meetings of our company.</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Voting at any meeting of shareholders is by show of hands unless a poll is demanded. A poll may be demanded by the chairman of such meeting or any one or more shareholders who together hold not less than 10% of the nominal value of the total issued voting shares of our company present in person or by proxy.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making changes to our current memorandum and articles of association.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40"/>
          </w:cols>
          <w:pgMar w:left="320" w:top="482" w:right="5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r>
        <w:rPr>
          <w:rFonts w:ascii="Times New Roman" w:cs="Times New Roman" w:eastAsia="Times New Roman" w:hAnsi="Times New Roman"/>
          <w:sz w:val="18"/>
          <w:szCs w:val="18"/>
          <w:color w:val="auto"/>
        </w:rPr>
        <w:t>. Subject to the restrictions contained in our current articles of association, any of our shareholders may transfer all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of his or her ordinary shares by an instrument of transfer in the usual or common form or any other form approved by our board of directors.</w:t>
      </w:r>
    </w:p>
    <w:p>
      <w:pPr>
        <w:spacing w:after="0" w:line="15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Market may determine to be payable or such lesser sum as our directors may from time to time require is paid to us in respect thereof.</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Global Market, be suspended and the register of members closed at such times and for such periods as our board of directors may from time to time determine, provided, however, that the registration of transfers shall not be suspended nor the register of members closed for more than 30 days in any year as our board may determine.</w:t>
      </w:r>
    </w:p>
    <w:p>
      <w:pPr>
        <w:spacing w:after="0" w:line="17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distribution among the holders of ordinary shares shall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176"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r>
        <w:rPr>
          <w:rFonts w:ascii="Times New Roman" w:cs="Times New Roman" w:eastAsia="Times New Roman" w:hAnsi="Times New Roman"/>
          <w:sz w:val="18"/>
          <w:szCs w:val="18"/>
          <w:color w:val="auto"/>
        </w:rPr>
        <w:t>. 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ordinary shares in a notice served to such shareholders at least 14 clear days prior to the specified time of payment. The ordinary shares that have been called upon and remain unpaid are subject to forfeiture.</w:t>
      </w:r>
    </w:p>
    <w:p>
      <w:pPr>
        <w:spacing w:after="0" w:line="17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Redemption of Ordinary Shares</w:t>
      </w:r>
      <w:r>
        <w:rPr>
          <w:rFonts w:ascii="Times New Roman" w:cs="Times New Roman" w:eastAsia="Times New Roman" w:hAnsi="Times New Roman"/>
          <w:sz w:val="18"/>
          <w:szCs w:val="18"/>
          <w:color w:val="auto"/>
        </w:rPr>
        <w:t>. The Companies Act and our current articles of association permit us to purchase our own shares.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current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All or any of the special rights attached to any class of shares may, subject to the provisions of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be materially adversely varied with the written consent of the holders of all of the issued shares of that class or with the sanction of an ordinary resolution passed at a general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 The rights of the holders of any shares shall not be deemed to be materially adversely varied by the creation or issue of shares with preferred or other rights including, without limitation, the creation of shares with enhanced or weighted voting rights.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Shareholders’ meetings may be convened by a majority of our board of directors or our chairman. Advance notice of at least seven (7) calendar days is required for the convening of our annual general shareholders’ meeting and any other general meeting of our shareholders. A quorum required for and throughout a meeting of shareholders consists of at least one shareholder entitled to vote and present in person or by proxy or (in the case of a shareholder being a corporation) by its duly authorized representative representing not less than one-third of all voting power of our share capital in issue.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However, we will provide our shareholders with the right to inspect our list of shareholders and to receive annual audited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3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shall prescribe;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permitted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82"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Companies Act. 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5"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30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The NASDAQ Global Market rules require that every company listed on the NASDAQ Global Market hold an annual general meeting of shareholders. In addition, our current articles of association allow directors to call special meeting of shareholders pursuant to the procedures set forth in our articles.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State of Delaware.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82"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Dissenting shareholders have the right to be paid the fair value of their shares (which, if not agreed between the parties, will be determined by the Cayman Islands court) if they follow the required procedures, subject to certain exceptions.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Court approval is not required for a merger or consolidation which is effected in compliance with these statutory procedures.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by way of schemes of arrangement between a company and its members (or any class of them), or between the company and its creditors (or any class of them), provided that the arrangement is approved by (a) 75% in value of the shareholders or class of shareholders, as the case may be, or (b) a majority in number representing 75% in value of the creditors or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4"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takeover offer. When a takeover offer is made and accepted by holders of 90% of the shares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or if a takeover offer is made and accepted,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8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current memorandum and articles of association.</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Memorandum and Articles of Association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provisions of our current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 memorandum and articles of association, as amended and restated from time to time, for what they believe in good faith to be in the best interests of our company.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Our current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allow our shareholders holding shares which carry in aggregate not less than one-third of all votes attaching to all issued and outstanding shares of our company that are entitled to vote at general meetings to requisition a shareholder’s meeting, in which case our directors are required to convene an extraordinary general meeting and to put the resolutions so requisitioned to a vote at such meeting. Other than this right to requisition a shareholders’ meeting, our current memorandum and articles of association do not provide our shareholders with any right to put proposals before annual general meetings or extraordinary general meetings not called by such shareholders. As an exempted Cayman Islands company, we are not obliged by law to call shareholders’ annual general meetings.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memorandum and articles of association do not provide for cumulative voting. As a result, our shareholders are not afforded any less protections or rights on this issue than shareholders of a Delaware corporation.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memorandum and articles of association, directors may be removed by an ordinary resolution of shareholders.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67" w:lineRule="exact"/>
        <w:rPr>
          <w:sz w:val="20"/>
          <w:szCs w:val="20"/>
          <w:color w:val="auto"/>
        </w:rPr>
      </w:pPr>
    </w:p>
    <w:p>
      <w:pPr>
        <w:ind w:left="1540" w:hanging="439"/>
        <w:spacing w:after="0"/>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30"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and any restructuring officer so appointed shall have such powers and carry out only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and subject to such terms as the court may impose.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 the Companies Act and our current memorandum and articles of association, our company may be dissolved, liquidated or wound up with the sanction of a special resolution of our shareholder.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current memorandum and articles of association, if our share capital is divided into more than one class of shares, we may materially adversely vary the rights attached to any class only with the sanction of an ordinary resolution passed at a general meeting of the holders of the shares of that class or the written consent the holders of all of the issued shares of that class.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Cayman Islands law, our current articles of association may only be amended by a special resolution of shareholders.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current memorandum and articles of association on the 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 on Form 20-F.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Relating to Foreign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ADSs or ordinary shares will not be subject to taxation in the Cayman Islands and no withholding will be required on the payment of a dividend or capital to any holder of ADSs or ordinary shares, nor will gains derived from the disposal of ADSs or ordinary shares be subject to Cayman Islands income or corporation tax.</w:t>
      </w:r>
    </w:p>
    <w:p>
      <w:pPr>
        <w:spacing w:after="0" w:line="176" w:lineRule="exact"/>
        <w:rPr>
          <w:sz w:val="20"/>
          <w:szCs w:val="20"/>
          <w:color w:val="auto"/>
        </w:rPr>
      </w:pPr>
    </w:p>
    <w:p>
      <w:pPr>
        <w:jc w:val="center"/>
        <w:ind w:left="800" w:right="80"/>
        <w:spacing w:after="0" w:line="454" w:lineRule="auto"/>
        <w:rPr>
          <w:sz w:val="20"/>
          <w:szCs w:val="20"/>
          <w:color w:val="auto"/>
        </w:rPr>
      </w:pPr>
      <w:r>
        <w:rPr>
          <w:rFonts w:ascii="Times New Roman" w:cs="Times New Roman" w:eastAsia="Times New Roman" w:hAnsi="Times New Roman"/>
          <w:sz w:val="18"/>
          <w:szCs w:val="18"/>
          <w:color w:val="auto"/>
        </w:rPr>
        <w:t>No stamp duty is payable in respect of the issue of ADSs or ordinary shares or on an instrument of transfer in respect of ADSs or ordinary shares. 141</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China with a “de facto management body” within China is considered as a resident enterprise. The implementation rules define the term “de facto management body” as the body that exercises full and substantial control and overall management over the business, productions, personnel, accounts and properties of an enterprise. In April 2009, the SAT issued the Circular Regarding the Determination of Chinese-Controlled Overseas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 In 2011, the SAT issued the Administrative Measures for Enterprise Income Tax of Chinese-Controlled Overseas Incorporated Resident Enterprises (Trial Version), or Bulletin No. 45, which further clarifies certain issues related to the determination of tax resident status and competent tax authorities. It also specifies that when provided with a copy of Recognition of Residential Status from a resident Chinese-controlled offshore-incorporated enterprise, a payer does not need to withhold income tax when paying certain PRC-sourced income such as dividends, interest and royalties to such Chinese-controlled offshore-incorporated enterprise.</w:t>
      </w:r>
    </w:p>
    <w:p>
      <w:pPr>
        <w:spacing w:after="0" w:line="19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We are not controlled by a PRC enterprise or PRC enterprise group and we do not believe that we meet all of the conditions above. We are a company incorporated outside China and our records (including the minutes and resolutions of our board of directors and the resolutions of our shareholders) are maintained outside China. However, the tax resident status of an enterprise is subject to determination by the PRC tax authorities and uncertainties remain with respect to the interpretation of the term “de facto management body.”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we are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China.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our non-PRC shareholders would be able to claim the benefits of any tax treaties between their country of tax residence and China in the event that we are treated as a PRC resident enterprise. See “Item 3. Key Information—D. Risk Factors—Risks Relating to Doing Business in the PRC—You may be subject to PRC income tax on dividends from us or on any gain realized on the transfer of our ADSs.”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that are likely to be relevant to the purchase, ownership and disposition of our Class A ordinary shares or ADSs by a U.S. Holder (as defined below).</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82"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This summary is not a comprehensive discussion of all of the tax considerations that may be relevant to a particular investor’s decision to purchase, hold, or dispose of Class A ordinary shares or ADSs. In particular, this summary is directed only to U.S. Holders that hold Class A ordinary shares or ADSs as capital assets and does not address particular tax consequences that may be applicable to U.S. Holders who may be subject to special tax rules, such as banks, brokers or dealers in securities or currencies, traders in securities electing to mark to market, financial institutions, insurance companies, tax-exempt entities, regulated investment companies, entities or arrangements that are treated as partnerships for U.S. federal income tax purposes (or the partners therein), holders that own or are treated as owning 10% or more of our stock by vote or value, persons holding Class A ordinary shares or ADSs as part of a hedging or conversion transaction or a straddle, or persons whose functional currency is not the U.S. dollar.</w:t>
      </w:r>
    </w:p>
    <w:p>
      <w:pPr>
        <w:spacing w:after="0" w:line="17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Moreover, this summary does not address state, local or foreign taxes, the U.S. federal estate and gift taxes, or the Medicare contribution tax applicable to net investment income of certain non-corporate U.S. Holders, or alternative minimum tax consequences of acquiring, holding or disposing of Class A ordinary shares or ADSs.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Class A ordinary shares or ADSs that is a citizen or resident of the U.S. or a U.S. domestic corporation or that otherwise is subject to U.S. federal income taxation on a net income basis in respect of such Class A ordinary shares or ADSs.</w:t>
      </w:r>
    </w:p>
    <w:p>
      <w:pPr>
        <w:spacing w:after="0" w:line="28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advisors about the consequences of the acquisition, ownership and disposition of the Class A ordinary shares or ADSs, including the relevance to your particular situation of the considerations discussed below and any consequences arising under foreign, state, local or other tax laws.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Class A ordinary shares that are represented by those ADSs. References to “shares” below apply to both Class A ordinary shares and ADSs, unless the context indicates otherwise.</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Deposits and withdrawals of Class A ordinary shares by U.S. Holders in exchange for ADSs will not result in the realization of gain or loss for U.S. federal income tax purposes.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discussed in “Dividend Policy,” we do not have any present plan to pay any cash dividends on our shares in the foreseeable future. Subject to the discussion below under “Passive Foreign Investment Company Rules,” the gross amount of any distribution of cash or property with respect to our shares (including amounts, if any, withheld in respect of PRC taxes) that is paid out of our current or accumulated earnings and profits (as determined for U.S. federal income tax purposes) will generally be includible in your taxable income as ordinary dividend income on the day on which you receive the dividend, in the case of Class A ordinary shares, or the date the depositary receives the dividends, in the case of ADSs, and will not be eligible for the dividends-received deduction allowed to U.S. corporations under the Code.</w:t>
      </w:r>
    </w:p>
    <w:p>
      <w:pPr>
        <w:spacing w:after="0" w:line="1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“E. Taxation—PRC Taxation”), a U.S. Holder may be subject to PRC withholding taxes on dividends paid on our shares. In that case, a U.S. Holder may, however, be eligible for the benefits of the Agreement Between the Government of the United States of America and the Government of the People’s Republic of China for the Avoidance of Double Taxation and the Prevention of Tax Evasion with Respect to Taxes on Income (the “Treaty”).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Dividend distributions will constitute income from sources outside the U.S. and, for U.S. Holders that elect to claim foreign tax credits, generally will constitute “passive category income” for foreign tax credit purposes. Subject to generally applicable limitations and conditions PRC dividend withholding tax paid at the appropriate rate applicable to the U.S. Holder may be eligible for a credit against such U.S. Holder’s U.S. federal income tax liability. These generally applicable limitations and conditions include requirements adopted by the IRS in regulations promulgated in December 2021 and any PRC tax will need to satisfy these requirements in order to be eligible to be a creditable tax for a U.S. Holder. In the case of a U.S. Holder that either (i) is eligible for, and properly elects, the benefits of the Treaty, or (ii) consistently elects to apply a modified version of these rules under temporary guidance and complies with specific requirements set forth in such guidance, the PRC tax on dividends will be treated as meeting the requirements and therefore as a creditable tax. In the case of all other U.S. Holders, the application of these requirements to the PRC tax on dividends is uncertain and we have not determined whether these requirements have been met. If the PRC dividend tax is not a creditable tax for a U.S. Holder or the U.S. Holder does not elect to claim a foreign tax credit for any foreign income taxes paid or accrued in the same taxable year, the U.S. Holder may be able to deduct the PRC tax in computing such U.S. Holder’s taxable income for U.S. federal income tax purposes. The availability and calculation of foreign tax credits and deductions for foreign taxes depend on a U.S. Holder’s particular circumstances and involve the application of complex rules to those circumstances. The temporary guidance discussed above also indicates that the Treasury and the IRS are considering proposing amendments to the December 2021 regulations and that the temporary guidance can be relied upon until additional guidance is issued that withdraws or modifies the temporary guidance. U.S. Holders should consult their own tax advisors regarding the application of these rules to their particular situations. U.S. Holders should consult their own tax advisors regarding the application of these rules to their particular situations.</w:t>
      </w:r>
    </w:p>
    <w:p>
      <w:pPr>
        <w:spacing w:after="0" w:line="19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 which case the U.S. Holder will be treated as if it received cash equal to the fair market value of the distribution.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upon a sale, exchange or other taxable disposition of the shares, U.S. Holders will realize gain or loss for U.S. federal income tax purposes in an amount equal to the difference between the amount realized on the disposition and the U.S. Holder’s adjusted tax basis in the shares, both as determined in U.S. dollars. Such gain or loss will be capital gain or loss, and will generally be long-term capital gain or loss if the shares have been held for more than one year. Long-term capital gain realized by a non-corporate U.S. Holder is subject to taxation at a preferential rate. The deductibility of capital losses is subject to limitations.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generally will not be entitled to credit any PRC tax imposed on the sale or other disposition of the shares against such U.S. Holder’s U.S. federal income tax liability, except in the case of a U.S. Holder that consistently elects to apply a modified version of the U.S. foreign tax credit rules that is permitted under temporary guidance and complies with the specific requirements set forth in such guidance. Capital gain or loss recognized by a U.S. Holder on the sale or other disposition of the shares generally will be U.S. source gain or loss for U.S. foreign tax credit purposes (except to the extent that the U.S. Holder establishes the right to treat gain as foreign source income under the Treaty). Consequently, even if the withholding tax qualifies as a creditable tax, a U.S. Holder may not be able to credit the tax against its U.S. federal income tax liability unless such credit can be applied (subject to generally applicable conditions and limitations) against tax due on other income treated as derived from foreign sources. If the PRC tax is not a creditable tax, the tax would reduce the amount realized on the sale or other disposition of the shares even if the U.S. Holder has elected to claim a foreign tax credit for other taxes in the same year. The temporary guidance discussed above also indicates that the Treasury and the IRS are considering proposing amendments to the December 2021 regulations and that the temporary guidance can be relied upon until additional guidance is issued that withdraws or modifies the temporary guidance. U.S. Holders should consult their own tax advisors regarding the application of the foreign tax credit rules to a sale or other disposition of the shares and any PRC tax imposed on such sale or disposition.</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Special U.S. tax rules apply to investors in companies that are considered to be PFICs. We will be classified as a PFIC in a particular taxable year if, either:</w:t>
      </w:r>
    </w:p>
    <w:p>
      <w:pPr>
        <w:spacing w:after="0" w:line="67" w:lineRule="exact"/>
        <w:rPr>
          <w:sz w:val="20"/>
          <w:szCs w:val="20"/>
          <w:color w:val="auto"/>
        </w:rPr>
      </w:pPr>
    </w:p>
    <w:p>
      <w:pPr>
        <w:ind w:left="5480" w:right="4620" w:hanging="4824"/>
        <w:spacing w:after="0" w:line="454" w:lineRule="auto"/>
        <w:tabs>
          <w:tab w:leader="none" w:pos="107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for the taxable year is passive income; or 144</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the value of our assets (generally based on a quarterly average) that is attributable to assets that produce or are held for the production of passive income is at least 50%.</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gains from certain commodities transactions, rents, royalties and the excess of gains over losses from the disposition of assets that produce passive income. Goodwill is treated as an active asset under the PFIC rules to the extent attributable to activities that produce active income. Cash generally is a passive asset for these purposes. If we own at least 25% (by value) of the stock of another corporation, for purposes of determining whether we are a PFIC, we will be treated as owning our proportionate share of the other corporation’s assets and receiving our proportionate share of the other corporation’s income. Although the law in this regard is not entirely clear, we treat our VIE as being owned by us for U.S. federal income tax purposes because we control its management decisions and are entitled to substantially all of the economic benefits associated with it.</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Based on our financial statements, the manner in which we conduct our business, the trading price of our Class A ordinary shares or ADSs, the value and nature of our assets, and the sources and nature of our income, we believe that we were a PFIC for our prior taxable year. Because we hold a significant amount of cash on our balance sheet, our status as a PFIC generally depends on the value of our goodwill and other intangible assets that we believe should be treated as active assets. As we determine the value of these assets by reference to our market capitalization, volatility in the trading price of our Class A ordinary shares and ADSs can have a significant impact on this analysis. Accordingly, there can be no assurance that we will not be a PFIC for any year in which a U.S. Holder holds our Class A ordinary shares and ADSs. The determination of whether we are a PFIC must be made annually based on the facts and circumstances at that time.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classified as a PFIC for any taxable year in which a U.S. Holder holds our stock, we will generally continue to be treated as a PFIC with respect to such U.S. Holder for all succeeding years during which such holder owns our shares, even if we cease to meet the threshold requirements for PFIC status (unless the U.S. Holder makes a special “purging” election on IRS Form 8621 with respect to our shares once we are no longer a PFIC).U.S. Holders are urged to consult their own tax advisors about the application of the PFIC rules to us.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shares and such U.S. Holder does not make the mark-to-market election described below, such U.S. Holder will be subject to a special tax at ordinary income tax rates on “excess distributions” (generally, any distributions that a U.S. Holder receives in a taxable year that are greater than 125 percent of the average annual distributions that such U.S. Holder has received in the preceding three taxable years, or its holding period, if shorter), as well as any gain that such U.S. Holder recognizes on the sale or other disposition of its shares. Under these rules (a) the excess distribution or gain will be allocated ratably over the U.S. Holder’s holding period for the shares,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Classification as a PFIC may also have other adverse tax consequences, including, in the case of individuals, the denial of a step-up in the basis of shares at death.</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shares and we have any direct, and in certain circumstances, indirect subsidiaries that are PFICs (each a “Subsidiary PFIC”), the U.S. Holder will be treated as owning its pro rata share of the stock of each such Subsidiary PFIC for purposes of the application of these rules, and the U.S. Holder generally would be subject to similar rules with respect to distributions to us by, and dispositions by us of the stock of, any of our direct or indirect subsidiaries that are PFICs. U.S. Holders are urged to consult their own tax advisors about the application of the PFIC rules to any of our subsidiaries.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 U.S. Holder may be able to avoid the interest charge described above by electing to mark its shares to market, provided the shares are considered “marketable.” The shares will be marketable if they are regularly traded on certain U.S. stock exchanges, including the NASDAQ Global Market, or on a non-U.S. stock exchange if (i) the non-U.S. stock exchange is regulated or supervised by a governmental authority in the country in which the exchange is located, (ii) the non-U.S. stock exchange has trading volume, listing, financial disclosure, surveillance and other requirements designed to prevent fraudulent and manipulative acts and practices, remove impediments to, and perfect the mechanism of, a free and open, fair and orderly, market and to protect investors, (iii) the laws of the country in which the exchange is located and the rules of the exchange ensure that these requirements are actually enforced, and (iv) the rules of the exchange ensure active trading during any calendar year during which they are traded, other than in de minimis quantities, on at least 15 days during each calendar quarter. It should be noted that only the ADSs, and not the Class A ordinary shares, are listed on the NASDAQ Global Market. Consequently, a mark-to-market election is not expected to be available for a U.S. Holder that holds Class A ordinary shares that are not represented by ADSs.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the U.S. Holder makes a mark-to-market election with respect to its ADSs, the holder will be required in any year in which we are a PFIC to include as ordinary income the excess of the fair market value of its ADSs at year-end over the holder’s basis in those ADSs. If at the end of the U.S. Holder’s taxable year for a year in which we were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or other disposition of its ADSs in a year in which we were a PFIC will be taxed as ordinary income in the year of sale and any loss will be treated as an ordinary loss to the extent of the U.S. Holder’s net mark-to-market gains from previous years. Once made, the election cannot be revoked without the consent of the IRS unless the ADSs cease to be marketable.</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However, a U.S. Holder will not be able to make a mark-to-market election with respect to the stock of any Subsidiary PFIC. Therefore, the U.S. Holder would continue to be subject to the excess distribution rules with respect to any of our subsidiaries that are PFICs, any distributions received by us from a subsidiary that is a PFIC and any gain recognized by us upon a sale of equity interests in a subsidiary that is a PFIC, even if the U.S. Holder has made a mark-to-market election with respect to our ADSs. The interaction of the mark-to-market rules and the rules governing lower-tier PFICs is complex and uncertain, and investors should therefore consult their own tax advisors regarding the availability of the mark-to-market election as well as the application of the PFIC rules to their ownership of our shares.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some cases, a shareholder of a PFIC may be subject to alternative treatment by making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To make a QEF election, the PFIC must provide shareholders with certain information compiled according to U.S. federal income tax principles. We do not intend, however, to prepare or provide the information that would enable U.S. Holders to make QEF elections.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holder’s taxable years for which such form is required to be filed. As a result, the taxable years with respect to which the U.S. Holder fails to file the form may remain open to assessment by the IRS indefinitely, until the form is filed.</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advisor regarding the U.S. federal income tax considerations discussed above and the desirability of making a mark-to-market election.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that own specified foreign financial assets with an aggregate value in excess of U.S.$50,000 on the last day of the taxable year or U.S. $75,000 (and in some circumstances, higher thresholds) at any time during the taxable year are generally required to file an information statement along with their tax returns, currently on IRS Form 8938, with respect to such assets. Specified foreign financial assets include any financial accounts held at a non-U.S. financial institution, as well as securities issued by a non-U.S. issuer that are not held in accounts maintained by financial institutions. The understatement of income attributable to “specified foreign financial assets” in excess of U.S.$5,000 extends the statute of limitations with respect to the tax return to six years after the return was filed. U.S. Holders who fail to report the required information could be subject to substantial penalties. Prospective investors are encouraged to consult with their own tax advisors regarding the possible application of these rules, including the application of the rules to their particular circumstances.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82"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Dividends paid on shares to a U.S. Holder and proceeds from the sale or other disposition of the shares by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refund or credit against the U.S. Holder’s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liability, provided the required information is furnished to the IRS in a timely manner.</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including relevant exhibits, with the SEC on Form F-1 (Registration No. 333-238596), as amended, under the Securities Act to register the issuance and sale of our Class A ordinary shares represented by ADSs in relation to our initial public offering. We have also filed a related registration statement on Form F-6 (Registration No. 333-238921) with the SEC to register the ADSs representing our Class A ordinary shares.</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We maintain a corporate website at http://www.brbiotech.com. We make available, free of charge, on our website our annual reports on Form 20-F, Reports on Form 6-K and amendments to those reports as soon as reasonably practicable after we electronically file such material with, or furnish it to, the SEC. No information contained on our website is intended to be included as part of, or incorporated by reference into, this annual report. In addition, the SEC maintains an internet site at http://www.sec.gov that contains reports and other information that we have filed electronically with the SEC.</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Our principal shareholders are exempt from the reporting and short-swing profit recovery provisions contained in Section 16 of the Exchange Act and our officers and directors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292"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121"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82"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right="3300" w:firstLine="440"/>
        <w:spacing w:after="0" w:line="377" w:lineRule="auto"/>
        <w:rPr>
          <w:sz w:val="20"/>
          <w:szCs w:val="20"/>
          <w:color w:val="auto"/>
        </w:rPr>
      </w:pPr>
      <w:r>
        <w:rPr>
          <w:rFonts w:ascii="Times New Roman" w:cs="Times New Roman" w:eastAsia="Times New Roman" w:hAnsi="Times New Roman"/>
          <w:sz w:val="18"/>
          <w:szCs w:val="18"/>
          <w:b w:val="1"/>
          <w:bCs w:val="1"/>
          <w:color w:val="auto"/>
        </w:rPr>
        <w:t>ITEM 11. QUALITATIVE AND QUANTITATIVE DISCLOSURES ABOUT MARKET RISK Credit risk</w:t>
      </w:r>
    </w:p>
    <w:p>
      <w:pPr>
        <w:spacing w:after="0" w:line="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credit risk is mainly associated with cash and cash equivalents, restricted cash, short-term investment, long-term investment, and accounts receivable. We place our cash and cash equivalents, restricted cash, short-term investment and long-term investment with reputable financial institutions of high credit quality. As of December 31, 2025, 100% of our cash and cash equivalents and restricted cash were held at major financial institutions located in the PRC. There has been no recent history of default related to these financial institutions. We continue to monitor the credit worthiness of these financial institutions.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Accounts receivables, typically unsecured and denominated in Renminbi, are derived from revenues earned from reputable customers. As of December 31, 2025, we had no single customer with a receivable balance exceeding 10% of the total accounts receivable balance. We manage credit risk of accounts receivable through ongoing monitoring of the outstanding balances.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July 21, 2005, the RMB is permitted to fluctuate within a narrow and managed band against a basket of certain foreign currencies. For U.S. dollar against RMB, there was appreciation of approximately 2.9% and 2.8% in the years ended December 31, 2023 and 2024, respectively and depreciation of approximately 4.2% in the year ended December 31, 2025. For Japanese Yen (JPY) against RMB, there was depreciation of approximately 3.1% in the year ended December 31, 2025. It is difficult to predict how market forces or PRC or U.S. or Japanese government policy may impact the exchange rate between the RMB, the U.S. dollar and JPY in the future.</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functional currency and reporting currency are the US$ and the RMB, respectively. Most of our revenues and costs are denominated in RMB, while a portion of cash and cash equivalents are denominated in US$ and JPY. It is difficult to predict how market forces or PRC or U.S. government policy may impact the exchange rate between the Renminbi, the US$ and JPY in the future. Any significant fluctuation of the valuation of RMB may materially affect the Group’s cash flows, revenues, earnings and financial position, and the value of any dividends payable on the ADS in US$.</w:t>
      </w:r>
    </w:p>
    <w:p>
      <w:pPr>
        <w:spacing w:after="0" w:line="16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business is transacted in Renminbi, which is not freely convertible into foreign currencies. All foreign exchange transactions take place either through the PBOC or other authorized financial institution at exchange rates quoted by the PBOC. Approval of foreign currency payments by the PBOC or other regulatory institutions requires submitting a payment application form together with suppliers’ invoices and signed contracts.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our financial condition and results of operations. We did not have any borrowings as of December 31, 2023 and 2024, and had long-term bank borrowings in the total amount of RMB1.7 million (US$0.2 million) as of December 31, 2025. We are not exposed to fair value interest rate risk due to our borrowings with fixed interest rates. We have not been exposed, nor do we anticipate to be exposed, to material risks due to changes in interest rates, and we have not used any derivative financial instruments to manage our interest risk exposure. We may incur additional borrowings or other facilities in the future. In addition, our future financial condition and results of operations may be affected due to changes in market interest rates.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82"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inflation has not materially affected our results of operations. According to the National Bureau of Statistics of China, the year-over-year percent change in the consumer price index for 2023, 2024 and 2025 were increases of 0.2%, 0.2% and 0%, respectively. Although we have not been materially affected by inflation, we may be affected if China experiences higher rates of inflation in the future.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right"/>
        <w:ind w:right="9540"/>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121"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American Depositary Shares 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8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29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Issuance of ADSs (e.g., an issuance of ADS upon a deposit of Class A ordinary shares, upon a change in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issued</w:t>
            </w:r>
          </w:p>
        </w:tc>
      </w:tr>
      <w:tr>
        <w:trPr>
          <w:trHeight w:val="216"/>
        </w:trPr>
        <w:tc>
          <w:tcPr>
            <w:tcW w:w="2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ADS(s)-to-Shares ratio, or for any other reason), excluding ADS issuances as a result of distributions</w:t>
            </w:r>
          </w:p>
        </w:tc>
        <w:tc>
          <w:tcPr>
            <w:tcW w:w="288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Class A ordinary shares</w:t>
            </w:r>
          </w:p>
        </w:tc>
        <w:tc>
          <w:tcPr>
            <w:tcW w:w="2880" w:type="dxa"/>
            <w:vAlign w:val="bottom"/>
          </w:tcPr>
          <w:p>
            <w:pPr>
              <w:spacing w:after="0"/>
              <w:rPr>
                <w:sz w:val="20"/>
                <w:szCs w:val="20"/>
                <w:color w:val="auto"/>
              </w:rPr>
            </w:pP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 deposited property, upon a change in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cancelled</w:t>
            </w:r>
          </w:p>
        </w:tc>
      </w:tr>
      <w:tr>
        <w:trPr>
          <w:trHeight w:val="234"/>
        </w:trPr>
        <w:tc>
          <w:tcPr>
            <w:tcW w:w="20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ADS(s)-to-Shares ratio, or for any other reason)</w:t>
            </w:r>
          </w:p>
        </w:tc>
        <w:tc>
          <w:tcPr>
            <w:tcW w:w="2880" w:type="dxa"/>
            <w:vAlign w:val="bottom"/>
          </w:tcPr>
          <w:p>
            <w:pPr>
              <w:spacing w:after="0"/>
              <w:rPr>
                <w:sz w:val="20"/>
                <w:szCs w:val="20"/>
                <w:color w:val="auto"/>
              </w:rPr>
            </w:pP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rights and other</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cancelled</w:t>
            </w:r>
          </w:p>
        </w:tc>
      </w:tr>
      <w:tr>
        <w:trPr>
          <w:trHeight w:val="234"/>
        </w:trPr>
        <w:tc>
          <w:tcPr>
            <w:tcW w:w="20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entitlements)</w:t>
            </w:r>
          </w:p>
        </w:tc>
        <w:tc>
          <w:tcPr>
            <w:tcW w:w="2880" w:type="dxa"/>
            <w:vAlign w:val="bottom"/>
          </w:tcPr>
          <w:p>
            <w:pPr>
              <w:spacing w:after="0"/>
              <w:rPr>
                <w:sz w:val="20"/>
                <w:szCs w:val="20"/>
                <w:color w:val="auto"/>
              </w:rPr>
            </w:pP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 free stock distributions, or (ii) exercise of</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held Up</w:t>
            </w:r>
          </w:p>
        </w:tc>
      </w:tr>
      <w:tr>
        <w:trPr>
          <w:trHeight w:val="234"/>
        </w:trPr>
        <w:tc>
          <w:tcPr>
            <w:tcW w:w="20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rights to purchase additional ADSs</w:t>
            </w:r>
          </w:p>
        </w:tc>
        <w:tc>
          <w:tcPr>
            <w:tcW w:w="288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 (e.g., upon a spin-off)</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ADS Services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held on the</w:t>
            </w:r>
          </w:p>
        </w:tc>
      </w:tr>
      <w:tr>
        <w:trPr>
          <w:trHeight w:val="216"/>
        </w:trPr>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applicable record date(s) established by</w:t>
            </w:r>
          </w:p>
        </w:tc>
      </w:tr>
      <w:tr>
        <w:trPr>
          <w:trHeight w:val="234"/>
        </w:trPr>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depositary</w:t>
            </w: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Registration of ADS transfers (e.g., upon a registration of the transfer of registered ownership of ADSs,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(or fraction</w:t>
            </w:r>
          </w:p>
        </w:tc>
      </w:tr>
      <w:tr>
        <w:trPr>
          <w:trHeight w:val="234"/>
        </w:trPr>
        <w:tc>
          <w:tcPr>
            <w:tcW w:w="20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upon a transfer of ADSs into DTC and vice versa, or for any other reason)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thereof) transferred</w:t>
            </w: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Conversion of ADSs of one series for ADSs of another series (e.g., upon conversion of Partial Entitlement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U.S. 5¢ per ADS (or fraction</w:t>
            </w:r>
          </w:p>
        </w:tc>
      </w:tr>
      <w:tr>
        <w:trPr>
          <w:trHeight w:val="216"/>
        </w:trPr>
        <w:tc>
          <w:tcPr>
            <w:tcW w:w="2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ADSs for Full Entitlement ADSs, or upon conversion of Restricted ADSs (each as defined in the Deposit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thereof) converted</w:t>
            </w:r>
          </w:p>
        </w:tc>
      </w:tr>
      <w:tr>
        <w:trPr>
          <w:trHeight w:val="234"/>
        </w:trPr>
        <w:tc>
          <w:tcPr>
            <w:tcW w:w="20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Agreement) into freely transferable ADSs, and vice versa).</w:t>
            </w:r>
          </w:p>
        </w:tc>
        <w:tc>
          <w:tcPr>
            <w:tcW w:w="288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82"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In 2025, we received US$8,271.91, net of withholding taxes, from the depository for expenses incurred in connection with the establishment and maintenance of the ADS program.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560" w:right="45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13. DEFAULTS, DIVIDEND ARREARAGES AND DELINQUENCIES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ind w:left="120" w:right="1440" w:firstLine="440"/>
        <w:spacing w:after="0" w:line="378"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for a description of the rights of securities holders, which remain unchanged.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No. 333-238596) in relation to our initial public offering, which was declared effective by the SEC on June 11, 2020. In June 2020, we completed our initial public offering in which we issued and sold an aggregate of 13,500,000 ADSs (excluding ADSs offered in the exercise of the over-allotment options), then representing 13,500,000 Class A ordinary shares (without taking into account of the ADS-to-Class A ordinary share ratio change from May 15, 2024). In the same month, the underwriters for our initial public offering exercised their over-allotment options in full to purchase an addition of 2,025,000 ADSs. The net proceeds we received from the initial public offering and the exercise of over-allotment options totaled approximately US$234.9 million. Morgan Stanley &amp; Co. LLC, BofA Securities, Inc. and Cowen and Company, LLC were the representatives of the underwriters for our initial public offering.</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the period from June 11, 2020, the date that the registration statement on Form F-1 was declared effective by the SEC, to December 31, 2025, the total expenses incurred for our company’s account in connection with our initial public offering was approximately US$2.5 million, which included US$2.3 million in underwriting discounts and commissions for the initial public offering and approximately US$0.2 million in other costs and expenses for our initial public offering. None of the transaction expenses included payments to directors or officers of our company or their associates, persons owning more than 10% or more of our equity securities or our affiliates.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the period from June 11, 2020, the date that the registration statement on Form F-1 was declared effective by the SEC, to December 31, 2025, we used (i) US$26.5 million of the net proceeds from our initial public offering to renovate our laboratories and offices, (ii) US$21.5 million to purchase and installation of machinery and equipment, (iii) US$1.5 million to supplement our working capital, (iv) US$38.1 million for early detection related research and development, and (v) US$129.8 million of for other operating and corporate administration expenses. None of the net proceeds from the initial public offering were paid, directly or indirectly, to any of our directors or officers or their associates, persons owning 10% or more of our equity securities or our affiliates.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still intend to use the remainder of the proceeds from our initial public offering as disclosed in our registration statements on Form F-1.</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with the participation of the chief executive officer, the chief financial officer, has assessed the effectiveness of internal control over financial reporting as of December 31, 2025. Management’s assessment was based on the framework in “Internal Control – Integrated Framework (2013)”, issued by the Committee of Sponsoring Organizations of the Treadway Commission, or COSO.</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that assessment, our management concluded that, as of December 31, 2025, the Company’s internal control over financial reporting was effective to provide reasonable assurance regarding the reliability of its financial reporting and the preparation of its financial statements for external purposes, in accordance with generally accepted accounting principles.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This annual report on Form 20-F does not include an attestation report of our independent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are not required to provide the auditor attestation report.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financing reporting (as defined in Rule 13a-15(f) of the Exchange Act) during the period covered by this annual report that have materially affected, or are reasonably likely to materially affect, our internal control over financial reporting.</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Wendy Hayes qualifies as an “audit committee financial expert,” and satisfies the “independence” requirements of Rule 5605(c)(2) of the Listing Rules of the Nasdaq Stock Market and meets the independence standards under Rule 10A-3 under the Exchange Act, as amended.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Our board of directors adopted a code of business conduct and ethics that applies to our directors, officers and employees in January 2020. We have posted a copy of our code of business conduct and ethics on our website at: https://ir.brbiotech.com/, where you can obtain a copy without charge.</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60"/>
          </w:cols>
          <w:pgMar w:left="320" w:top="482" w:right="5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Ernst &amp; Young Hua Ming LLP, our principal external auditors,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8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72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6,335</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5,751</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6,816</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6,355</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line="257"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billed in each of the fiscal period listed for professional services rendered by our independent public accountant in relation to the audit of our annual financial statements, agreed upon procedures of our quarterly financial statements, and statutory audits for certain of our subsidiaries.</w:t>
      </w:r>
    </w:p>
    <w:p>
      <w:pPr>
        <w:spacing w:after="0" w:line="1" w:lineRule="exact"/>
        <w:rPr>
          <w:rFonts w:ascii="Times New Roman" w:cs="Times New Roman" w:eastAsia="Times New Roman" w:hAnsi="Times New Roman"/>
          <w:sz w:val="18"/>
          <w:szCs w:val="18"/>
          <w:color w:val="auto"/>
        </w:rPr>
      </w:pPr>
    </w:p>
    <w:p>
      <w:pPr>
        <w:ind w:left="540" w:right="620" w:hanging="424"/>
        <w:spacing w:after="0" w:line="260"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fiscal period listed for professional services rendered by our independent public accountant for tax compliance, tax advice, and tax planning.</w:t>
      </w:r>
    </w:p>
    <w:p>
      <w:pPr>
        <w:spacing w:after="0" w:line="18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Ernst &amp; Young Hua Ming LLP, including audit services, audit-related services, tax services and other services as described above, other than those for de minimis services which are approved by the audit committee prior to the completion of the audit.</w:t>
      </w:r>
    </w:p>
    <w:p>
      <w:pPr>
        <w:spacing w:after="0" w:line="280" w:lineRule="exact"/>
        <w:rPr>
          <w:sz w:val="20"/>
          <w:szCs w:val="20"/>
          <w:color w:val="auto"/>
        </w:rPr>
      </w:pPr>
    </w:p>
    <w:p>
      <w:pPr>
        <w:ind w:left="560" w:right="29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16D. EXEMPTIONS FROM THE LISTING STANDARDS FOR AUDIT COMMITTEES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October 2024, we entered into a share repurchase agreement with a minority shareholder, pursuant to which we repurchased a total of 34,724 Class A ordinary shares for a total consideration of RMB3 million in cash.</w:t>
      </w:r>
    </w:p>
    <w:p>
      <w:pPr>
        <w:spacing w:after="0" w:line="266" w:lineRule="exact"/>
        <w:rPr>
          <w:sz w:val="20"/>
          <w:szCs w:val="20"/>
          <w:color w:val="auto"/>
        </w:rPr>
      </w:pPr>
    </w:p>
    <w:p>
      <w:pPr>
        <w:ind w:left="560" w:right="45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16F. CHANGE IN REGISTRANT’S CERTIFYING ACCOUNTANT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As a Cayman Islands company listed on the NASDAQ Global Market, we are subject to the NASDAQ Global Market corporate governance listing standards. However, NASDAQ Global Market rules permit a foreign private issuer like us to follow the corporate governance practices of its home country. Certain corporate governance practices in the Cayman Islands, which is our home country, may differ significantly from the NASDAQ Global Market corporate governance listing standards. We opt to follow our home country practices and rely on certain exemptions provided by the NASDAQ Global Market corporate governance listing standards to a foreign private issuer, including exemptions from the requirements to have:</w:t>
      </w:r>
    </w:p>
    <w:p>
      <w:pPr>
        <w:spacing w:after="0" w:line="73"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independent directors on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of three members in our audit committee;</w:t>
      </w:r>
    </w:p>
    <w:p>
      <w:pPr>
        <w:spacing w:after="0" w:line="130" w:lineRule="exact"/>
        <w:rPr>
          <w:rFonts w:ascii="Times New Roman" w:cs="Times New Roman" w:eastAsia="Times New Roman" w:hAnsi="Times New Roman"/>
          <w:sz w:val="18"/>
          <w:szCs w:val="18"/>
          <w:color w:val="auto"/>
        </w:rPr>
      </w:pPr>
    </w:p>
    <w:p>
      <w:pPr>
        <w:ind w:left="5480" w:right="260" w:hanging="4824"/>
        <w:spacing w:after="0" w:line="454" w:lineRule="auto"/>
        <w:tabs>
          <w:tab w:leader="none" w:pos="10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being involved in the selection of director nominees and determination of executive officer compensation; 153</w:t>
      </w:r>
    </w:p>
    <w:p>
      <w:pPr>
        <w:sectPr>
          <w:pgSz w:w="11900" w:h="16838" w:orient="portrait"/>
          <w:cols w:equalWidth="0" w:num="1">
            <w:col w:w="10940"/>
          </w:cols>
          <w:pgMar w:left="320" w:top="482" w:right="6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executive sessions of independent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annual general meeting which is no less than 33 1/3% of our outstanding shares.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our reliance on the corporate governance exemptions available to foreign private issuers, holders of our ADSs will not have the same protection afforded to shareholders of companies that are subject to all of NASDAQ Global Market corporate governance requirements.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60" w:right="202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16I. DISCLOSURE REGARDING FOREIGN JURISDICTION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720"/>
          </w:cols>
          <w:pgMar w:left="320" w:top="482" w:right="8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(the “Insider Trading Policy”). We have filed our Insider Trading Policies, as amended, as Exhibit 11.2 to this annual report on Form 20-F.</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developed and maintained a cybersecurity risk management program, consisting of cybersecurity policies, procedures, compliance and awareness programs to mitigate risk and to ensure compliance with security, availability and confidentiality. The cybersecurity process has been integrated into our overall risk management system and process, and is solely internally managed. Pursuant to our cybersecurity policy, the Board is responsible for the oversight of risks from cybersecurity threats, including full authority in monitoring, resolving, disclosing and otherwise handling matters related to or arising out any cybersecurity incidents. The Board has also delegated authorities to certain Board committee and management. Our Audit Committee is responsible for identifying risks that threaten achievement of the control activities and reporting such risks and any material cybersecurity incidents to the Board on a quarterly basis. We also established a dedicated management team comprising cybersecurity officers from each department. This management team is responsible for developing cybersecurity management strategies and harmonizing and publishing cybersecurity management rules and specifications; regularly studying relevant legal and regulatory compliance matters, and identifying any compliance risks that we face; developing the operating procedures for cybersecurity management and providing clarifications on such procedures, including the emergency plans, in relation to cybersecurity incidents; developing data classification standards, assisting business departments in effective data asset identification and classification management, and implementing the cybersecurity matters in the business operation context; and developing and organizing cybersecurity education and training sessions, and reporting major cybersecurity matters to the Audit Committee. The risk assessment for our cybersecurity occurs as business needs change, and covers identification of risks that could act against our objectives as well as specific risks related to a compromise to the security of data.</w:t>
      </w:r>
    </w:p>
    <w:p>
      <w:pPr>
        <w:spacing w:after="0" w:line="19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oversight of cybersecurity threats is undertaken by our head of IT department. The level of each identified risk is evaluated based on its potential impact, prioritizing high-scoring risks for immediate action and mitigation. A thorough analysis is conducted to assess if the risk aligns with our risk acceptance criteria, determining whether it should be accepted or mitigated. Mitigation plans are developed, specifying the responsible individual or department, and may take into account budgetary considerations.</w:t>
      </w:r>
    </w:p>
    <w:p>
      <w:pPr>
        <w:spacing w:after="0" w:line="18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material risks from cybersecurity threats that have materially affected or are reasonably likely to materially affect us, including our business strategy, results of operations or financial condition.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consolidated financial statements are included at the end of this annual report.</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139"/>
          </w:cols>
          <w:pgMar w:left="320" w:top="482"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360" w:type="dxa"/>
            <w:vAlign w:val="bottom"/>
            <w:gridSpan w:val="27"/>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63"/>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spacing w:after="0"/>
              <w:rPr>
                <w:sz w:val="22"/>
                <w:szCs w:val="22"/>
                <w:color w:val="auto"/>
              </w:rPr>
            </w:pPr>
          </w:p>
        </w:tc>
        <w:tc>
          <w:tcPr>
            <w:tcW w:w="8660" w:type="dxa"/>
            <w:vAlign w:val="bottom"/>
            <w:tcBorders>
              <w:top w:val="single" w:sz="8" w:color="auto"/>
              <w:bottom w:val="single" w:sz="8" w:color="0000EE"/>
            </w:tcBorders>
            <w:gridSpan w:val="21"/>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Form of Tenth Amended and Restated Memorandum and Articles of Association of the Registrant, as currently in effect</w:t>
              </w:r>
            </w:hyperlink>
          </w:p>
        </w:tc>
        <w:tc>
          <w:tcPr>
            <w:tcW w:w="260" w:type="dxa"/>
            <w:vAlign w:val="bottom"/>
            <w:tcBorders>
              <w:top w:val="single" w:sz="8" w:color="auto"/>
            </w:tcBorders>
            <w:gridSpan w:val="11"/>
          </w:tcPr>
          <w:p>
            <w:pPr>
              <w:spacing w:after="0"/>
              <w:rPr>
                <w:sz w:val="22"/>
                <w:szCs w:val="22"/>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(incorporated herein by reference to Exhibit 3.2 to the registration statement on Form F-1 (File No. 333-238596) , as</w:t>
              </w:r>
            </w:hyperlink>
          </w:p>
        </w:tc>
        <w:tc>
          <w:tcPr>
            <w:tcW w:w="520" w:type="dxa"/>
            <w:vAlign w:val="bottom"/>
            <w:gridSpan w:val="1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amended, initially filed with the SEC on May 22, 2020)</w:t>
              </w:r>
            </w:hyperlink>
          </w:p>
        </w:tc>
        <w:tc>
          <w:tcPr>
            <w:tcW w:w="4900" w:type="dxa"/>
            <w:vAlign w:val="bottom"/>
            <w:gridSpan w:val="26"/>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spacing w:after="0"/>
              <w:rPr>
                <w:sz w:val="24"/>
                <w:szCs w:val="24"/>
                <w:color w:val="auto"/>
              </w:rPr>
            </w:pPr>
          </w:p>
        </w:tc>
        <w:tc>
          <w:tcPr>
            <w:tcW w:w="8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Registrant’s Specimen American Depositary Receipt (incorporated herein by reference to Exhibit 99(a)(i) to the</w:t>
              </w:r>
            </w:hyperlink>
          </w:p>
        </w:tc>
        <w:tc>
          <w:tcPr>
            <w:tcW w:w="860" w:type="dxa"/>
            <w:vAlign w:val="bottom"/>
            <w:gridSpan w:val="2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registration statement on Form F-6 (File No. 333-238921) filed with the Securities and Exchange Commission on</w:t>
              </w:r>
            </w:hyperlink>
          </w:p>
        </w:tc>
        <w:tc>
          <w:tcPr>
            <w:tcW w:w="740" w:type="dxa"/>
            <w:vAlign w:val="bottom"/>
            <w:gridSpan w:val="1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October 31, 2022))</w:t>
              </w:r>
            </w:hyperlink>
          </w:p>
        </w:tc>
        <w:tc>
          <w:tcPr>
            <w:tcW w:w="7540" w:type="dxa"/>
            <w:vAlign w:val="bottom"/>
            <w:gridSpan w:val="29"/>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Pr>
          <w:p>
            <w:pPr>
              <w:spacing w:after="0"/>
              <w:rPr>
                <w:sz w:val="24"/>
                <w:szCs w:val="24"/>
                <w:color w:val="auto"/>
              </w:rPr>
            </w:pPr>
          </w:p>
        </w:tc>
        <w:tc>
          <w:tcPr>
            <w:tcW w:w="87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Registrant’s Specimen Certificate for Ordinary Shares (incorporated herein by reference to Exhibit 4.2 to the registration</w:t>
              </w:r>
            </w:hyperlink>
          </w:p>
        </w:tc>
        <w:tc>
          <w:tcPr>
            <w:tcW w:w="22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statement on Form F-1 (File No. 333-238596) , as amended, initially filed with the SEC on May 22, 2020)</w:t>
              </w:r>
            </w:hyperlink>
          </w:p>
        </w:tc>
        <w:tc>
          <w:tcPr>
            <w:tcW w:w="1260" w:type="dxa"/>
            <w:vAlign w:val="bottom"/>
            <w:gridSpan w:val="2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Pr>
          <w:p>
            <w:pPr>
              <w:spacing w:after="0"/>
              <w:rPr>
                <w:sz w:val="24"/>
                <w:szCs w:val="24"/>
                <w:color w:val="auto"/>
              </w:rPr>
            </w:pPr>
          </w:p>
        </w:tc>
        <w:tc>
          <w:tcPr>
            <w:tcW w:w="88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Deposit Agreement, dated as of June 16, 2020, as amended and supplemented on October 31, 2022, among the Registrant,</w:t>
              </w:r>
            </w:hyperlink>
          </w:p>
        </w:tc>
        <w:tc>
          <w:tcPr>
            <w:tcW w:w="10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the depositary and all holders and beneficial owners of American Depositary Shares issued thereunder (incorporated herein</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by reference to Exhibit 99(a) (ii) to the registration statement on Form F-6 (File No. 333-238921) filed with the Securities</w:t>
              </w:r>
            </w:hyperlink>
          </w:p>
        </w:tc>
        <w:tc>
          <w:tcPr>
            <w:tcW w:w="14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and Exchange Commission on October 31, 2022)</w:t>
              </w:r>
            </w:hyperlink>
          </w:p>
        </w:tc>
        <w:tc>
          <w:tcPr>
            <w:tcW w:w="5360" w:type="dxa"/>
            <w:vAlign w:val="bottom"/>
            <w:gridSpan w:val="2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Pr>
          <w:p>
            <w:pPr>
              <w:spacing w:after="0"/>
              <w:rPr>
                <w:sz w:val="24"/>
                <w:szCs w:val="24"/>
                <w:color w:val="auto"/>
              </w:rPr>
            </w:pPr>
          </w:p>
        </w:tc>
        <w:tc>
          <w:tcPr>
            <w:tcW w:w="8920" w:type="dxa"/>
            <w:vAlign w:val="bottom"/>
            <w:gridSpan w:val="32"/>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Description of Securities (incorporated herein by reference to Exhibit 2.4 to our annual report on Form 20-F</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(File No. 001-39316) filed with the SEC on April 20, 2023)</w:t>
              </w:r>
            </w:hyperlink>
          </w:p>
        </w:tc>
        <w:tc>
          <w:tcPr>
            <w:tcW w:w="3480" w:type="dxa"/>
            <w:vAlign w:val="bottom"/>
            <w:tcBorders>
              <w:top w:val="single" w:sz="8" w:color="0000EE"/>
            </w:tcBorders>
            <w:gridSpan w:val="3"/>
          </w:tcPr>
          <w:p>
            <w:pPr>
              <w:spacing w:after="0"/>
              <w:rPr>
                <w:sz w:val="17"/>
                <w:szCs w:val="17"/>
                <w:color w:val="auto"/>
              </w:rPr>
            </w:pPr>
          </w:p>
        </w:tc>
        <w:tc>
          <w:tcPr>
            <w:tcW w:w="1140" w:type="dxa"/>
            <w:vAlign w:val="bottom"/>
            <w:gridSpan w:val="21"/>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spacing w:after="0"/>
              <w:rPr>
                <w:sz w:val="24"/>
                <w:szCs w:val="24"/>
                <w:color w:val="auto"/>
              </w:rPr>
            </w:pPr>
          </w:p>
        </w:tc>
        <w:tc>
          <w:tcPr>
            <w:tcW w:w="89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Form of Indemnification Agreement between the Registrant and its directors and executive officers (incorporated herein by</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reference to Exhibit 10.1 to the registration statement on Form F-1 (File No. 333-238596) , as amended, initially filed with</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the SEC on May 22, 2020)</w:t>
              </w:r>
            </w:hyperlink>
          </w:p>
        </w:tc>
        <w:tc>
          <w:tcPr>
            <w:tcW w:w="6980" w:type="dxa"/>
            <w:vAlign w:val="bottom"/>
            <w:gridSpan w:val="28"/>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spacing w:after="0"/>
              <w:rPr>
                <w:sz w:val="24"/>
                <w:szCs w:val="24"/>
                <w:color w:val="auto"/>
              </w:rPr>
            </w:pPr>
          </w:p>
        </w:tc>
        <w:tc>
          <w:tcPr>
            <w:tcW w:w="85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Form of Employment Agreement between the Registrant and its executive officers (incorporated herein by reference to</w:t>
              </w:r>
            </w:hyperlink>
          </w:p>
        </w:tc>
        <w:tc>
          <w:tcPr>
            <w:tcW w:w="34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Exhibit 10.2 to the registration statement on Form F-1 (File No. 333-238596) , as amended, initially filed with the SEC on</w:t>
              </w:r>
            </w:hyperlink>
          </w:p>
        </w:tc>
        <w:tc>
          <w:tcPr>
            <w:tcW w:w="1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May 22, 2020)</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spacing w:after="0"/>
              <w:rPr>
                <w:sz w:val="24"/>
                <w:szCs w:val="24"/>
                <w:color w:val="auto"/>
              </w:rPr>
            </w:pPr>
          </w:p>
        </w:tc>
        <w:tc>
          <w:tcPr>
            <w:tcW w:w="88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English translation of Exclusive Business Cooperation Agreement, dated October 21, 2019, between Beijing Burning Rock</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Biotech Limited and Burning Rock (Beijing) Biotechnology Co., Ltd. (incorporated herein by reference to Exhibit 10.3 to</w:t>
              </w:r>
            </w:hyperlink>
          </w:p>
        </w:tc>
        <w:tc>
          <w:tcPr>
            <w:tcW w:w="14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the registration statement on Form F-1 (File No. 333-238596) , as amended, initially filed with the SEC on May 22, 2020)</w:t>
              </w:r>
            </w:hyperlink>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spacing w:after="0"/>
              <w:rPr>
                <w:sz w:val="24"/>
                <w:szCs w:val="24"/>
                <w:color w:val="auto"/>
              </w:rPr>
            </w:pPr>
          </w:p>
        </w:tc>
        <w:tc>
          <w:tcPr>
            <w:tcW w:w="83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English translation of Exclusive Option Agreement, dated October 21, 2019, among Beijing Burning Rock Biotech</w:t>
              </w:r>
            </w:hyperlink>
          </w:p>
        </w:tc>
        <w:tc>
          <w:tcPr>
            <w:tcW w:w="480" w:type="dxa"/>
            <w:vAlign w:val="bottom"/>
            <w:tcBorders>
              <w:top w:val="single" w:sz="8" w:color="0000EE"/>
            </w:tcBorders>
            <w:gridSpan w:val="10"/>
          </w:tcPr>
          <w:p>
            <w:pPr>
              <w:spacing w:after="0"/>
              <w:rPr>
                <w:sz w:val="24"/>
                <w:szCs w:val="24"/>
                <w:color w:val="auto"/>
              </w:rPr>
            </w:pPr>
          </w:p>
        </w:tc>
        <w:tc>
          <w:tcPr>
            <w:tcW w:w="14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Limited, Burning Rock (Beijing) Biotechnology Co., Ltd. and its shareholders (incorporated herein by reference to Exhibit</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80" w:type="dxa"/>
            <w:vAlign w:val="bottom"/>
            <w:gridSpan w:val="6"/>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the registration statement on Form F-1 (File No. 333-238596) , as amended, initially filed with the SEC on May 22,</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06">
              <w:r>
                <w:rPr>
                  <w:rFonts w:ascii="Times New Roman" w:cs="Times New Roman" w:eastAsia="Times New Roman" w:hAnsi="Times New Roman"/>
                  <w:sz w:val="18"/>
                  <w:szCs w:val="18"/>
                  <w:color w:val="0000EE"/>
                  <w:w w:val="95"/>
                </w:rPr>
                <w:t>2020)</w:t>
              </w:r>
            </w:hyperlink>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tcPr>
          <w:p>
            <w:pPr>
              <w:spacing w:after="0"/>
              <w:rPr>
                <w:sz w:val="24"/>
                <w:szCs w:val="24"/>
                <w:color w:val="auto"/>
              </w:rPr>
            </w:pPr>
          </w:p>
        </w:tc>
        <w:tc>
          <w:tcPr>
            <w:tcW w:w="8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English translation of Equity Interest Pledge Agreement, dated October 21, 2019, among Beijing Burning Rock Biotech</w:t>
              </w:r>
            </w:hyperlink>
          </w:p>
        </w:tc>
        <w:tc>
          <w:tcPr>
            <w:tcW w:w="28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Limited, Burning Rock (Beijing) Biotechnology Co., Ltd. and its shareholders (incorporated herein by reference to Exhibit</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gridSpan w:val="7"/>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registration statement on Form F-1 (File No. 333-238596) , as amended, initially filed with the SEC on May 22,</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07">
              <w:r>
                <w:rPr>
                  <w:rFonts w:ascii="Times New Roman" w:cs="Times New Roman" w:eastAsia="Times New Roman" w:hAnsi="Times New Roman"/>
                  <w:sz w:val="18"/>
                  <w:szCs w:val="18"/>
                  <w:color w:val="0000EE"/>
                  <w:w w:val="95"/>
                </w:rPr>
                <w:t>2020)</w:t>
              </w:r>
            </w:hyperlink>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tcPr>
          <w:p>
            <w:pPr>
              <w:spacing w:after="0"/>
              <w:rPr>
                <w:sz w:val="24"/>
                <w:szCs w:val="24"/>
                <w:color w:val="auto"/>
              </w:rPr>
            </w:pPr>
          </w:p>
        </w:tc>
        <w:tc>
          <w:tcPr>
            <w:tcW w:w="86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English translation of Agreement for Power of Attorney , dated October 21, 2019, among Beijing Burning Rock Biotech</w:t>
              </w:r>
            </w:hyperlink>
          </w:p>
        </w:tc>
        <w:tc>
          <w:tcPr>
            <w:tcW w:w="24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Limited, Burning Rock (Beijing) Biotechnology Co., Ltd. and its shareholders (incorporated herein by reference to Exhibit</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gridSpan w:val="7"/>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EE"/>
                </w:rPr>
                <w:t xml:space="preserve"> to the registration statement on Form F-1 (File No. 333-238596) , as amended, initially filed with the SEC on May 22,</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08">
              <w:r>
                <w:rPr>
                  <w:rFonts w:ascii="Times New Roman" w:cs="Times New Roman" w:eastAsia="Times New Roman" w:hAnsi="Times New Roman"/>
                  <w:sz w:val="18"/>
                  <w:szCs w:val="18"/>
                  <w:color w:val="0000EE"/>
                  <w:w w:val="95"/>
                </w:rPr>
                <w:t>2020)</w:t>
              </w:r>
            </w:hyperlink>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tcPr>
          <w:p>
            <w:pPr>
              <w:spacing w:after="0"/>
              <w:rPr>
                <w:sz w:val="24"/>
                <w:szCs w:val="24"/>
                <w:color w:val="auto"/>
              </w:rPr>
            </w:pPr>
          </w:p>
        </w:tc>
        <w:tc>
          <w:tcPr>
            <w:tcW w:w="8920" w:type="dxa"/>
            <w:vAlign w:val="bottom"/>
            <w:gridSpan w:val="32"/>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English translation of the executed form of Spousal Consent Letter, dated October 21, 2019, granted by the spouses of</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individual shareholders of Burning Rock (Beijing) Biotechnology Co., Ltd. (incorporated herein by reference to</w:t>
              </w:r>
            </w:hyperlink>
          </w:p>
        </w:tc>
        <w:tc>
          <w:tcPr>
            <w:tcW w:w="440" w:type="dxa"/>
            <w:vAlign w:val="bottom"/>
            <w:tcBorders>
              <w:top w:val="single" w:sz="8" w:color="0000EE"/>
            </w:tcBorders>
            <w:gridSpan w:val="6"/>
          </w:tcPr>
          <w:p>
            <w:pPr>
              <w:spacing w:after="0"/>
              <w:rPr>
                <w:sz w:val="17"/>
                <w:szCs w:val="17"/>
                <w:color w:val="auto"/>
              </w:rPr>
            </w:pPr>
          </w:p>
        </w:tc>
        <w:tc>
          <w:tcPr>
            <w:tcW w:w="420" w:type="dxa"/>
            <w:vAlign w:val="bottom"/>
            <w:gridSpan w:val="1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Exhibit 10.7 to the registration statement on Form F 1 (File No. 333 238596) , as amended, initially filed with the SEC on</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May 22, 2020)</w:t>
              </w:r>
            </w:hyperlink>
          </w:p>
        </w:tc>
        <w:tc>
          <w:tcPr>
            <w:tcW w:w="160" w:type="dxa"/>
            <w:vAlign w:val="bottom"/>
            <w:gridSpan w:val="8"/>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tcPr>
          <w:p>
            <w:pPr>
              <w:spacing w:after="0"/>
              <w:rPr>
                <w:sz w:val="24"/>
                <w:szCs w:val="24"/>
                <w:color w:val="auto"/>
              </w:rPr>
            </w:pPr>
          </w:p>
        </w:tc>
        <w:tc>
          <w:tcPr>
            <w:tcW w:w="8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Financial Support Undertaking Letter, dated October 21, 2019, issued by the Registrant to Burning Rock (Beijing)</w:t>
              </w:r>
            </w:hyperlink>
          </w:p>
        </w:tc>
        <w:tc>
          <w:tcPr>
            <w:tcW w:w="680" w:type="dxa"/>
            <w:vAlign w:val="bottom"/>
            <w:gridSpan w:val="1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3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Biotechnology Co., Ltd. (incorporated herein by reference to Exhibit 10.8 to the registration statement on Form F-1</w:t>
              </w:r>
            </w:hyperlink>
          </w:p>
        </w:tc>
        <w:tc>
          <w:tcPr>
            <w:tcW w:w="600" w:type="dxa"/>
            <w:vAlign w:val="bottom"/>
            <w:gridSpan w:val="1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(File No. 333-238596), as 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gridSpan w:val="7"/>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tcPr>
          <w:p>
            <w:pPr>
              <w:spacing w:after="0"/>
              <w:rPr>
                <w:sz w:val="24"/>
                <w:szCs w:val="24"/>
                <w:color w:val="auto"/>
              </w:rPr>
            </w:pPr>
          </w:p>
        </w:tc>
        <w:tc>
          <w:tcPr>
            <w:tcW w:w="8920" w:type="dxa"/>
            <w:vAlign w:val="bottom"/>
            <w:gridSpan w:val="32"/>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Voting proxy agreement, dated October 21, 2019, by and between the Registrant and Beijing Burning Rock Biotech</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gridSpan w:val="7"/>
            <w:shd w:val="clear" w:color="auto" w:fill="0000EE"/>
          </w:tcPr>
          <w:p>
            <w:pPr>
              <w:spacing w:after="0" w:line="20" w:lineRule="exact"/>
              <w:rPr>
                <w:sz w:val="1"/>
                <w:szCs w:val="1"/>
                <w:color w:val="auto"/>
              </w:rPr>
            </w:pPr>
          </w:p>
        </w:tc>
        <w:tc>
          <w:tcPr>
            <w:tcW w:w="4120" w:type="dxa"/>
            <w:vAlign w:val="bottom"/>
            <w:gridSpan w:val="9"/>
            <w:shd w:val="clear" w:color="auto" w:fill="0000EE"/>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Limited (incorporated herein by reference to Exhibit 10.9 to the registration statement on Form F-1 (File No. 333-238596),</w:t>
              </w:r>
            </w:hyperlink>
          </w:p>
        </w:tc>
        <w:tc>
          <w:tcPr>
            <w:tcW w:w="6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as amended, initially filed with the SEC on May 22, 2020)</w:t>
              </w:r>
            </w:hyperlink>
          </w:p>
        </w:tc>
      </w:tr>
      <w:tr>
        <w:trPr>
          <w:trHeight w:val="385"/>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60" w:type="dxa"/>
            <w:vAlign w:val="bottom"/>
            <w:tcBorders>
              <w:top w:val="single" w:sz="8" w:color="0000EE"/>
            </w:tcBorders>
            <w:gridSpan w:val="5"/>
          </w:tcPr>
          <w:p>
            <w:pPr>
              <w:ind w:left="3260"/>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60" w:type="dxa"/>
            <w:vAlign w:val="bottom"/>
            <w:gridSpan w:val="27"/>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63"/>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4.10</w:t>
            </w:r>
          </w:p>
        </w:tc>
        <w:tc>
          <w:tcPr>
            <w:tcW w:w="760" w:type="dxa"/>
            <w:vAlign w:val="bottom"/>
          </w:tcPr>
          <w:p>
            <w:pPr>
              <w:spacing w:after="0"/>
              <w:rPr>
                <w:sz w:val="22"/>
                <w:szCs w:val="22"/>
                <w:color w:val="auto"/>
              </w:rPr>
            </w:pPr>
          </w:p>
        </w:tc>
        <w:tc>
          <w:tcPr>
            <w:tcW w:w="9120" w:type="dxa"/>
            <w:vAlign w:val="bottom"/>
            <w:tcBorders>
              <w:top w:val="single" w:sz="8" w:color="auto"/>
              <w:bottom w:val="single" w:sz="8" w:color="0000EE"/>
            </w:tcBorders>
            <w:gridSpan w:val="27"/>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Series C Preferred Share Purchase Agreement, dated January 31, 2019, by and among the Registrant and other parties thereto (</w:t>
              </w:r>
            </w:hyperlink>
          </w:p>
        </w:tc>
        <w:tc>
          <w:tcPr>
            <w:tcW w:w="140" w:type="dxa"/>
            <w:vAlign w:val="bottom"/>
            <w:tcBorders>
              <w:top w:val="single" w:sz="8" w:color="auto"/>
            </w:tcBorders>
            <w:gridSpan w:val="4"/>
          </w:tcPr>
          <w:p>
            <w:pPr>
              <w:spacing w:after="0"/>
              <w:rPr>
                <w:sz w:val="22"/>
                <w:szCs w:val="22"/>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incorporated herein by reference to Exhibit 10.10 to the registration statement on Form F-1 (File No. 333-238596), as amended,</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Series C+ Preferred Share Purchase Agreement, dated December 30, 2019, by and among the Registrant and other parties</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thereto (incorporated herein by reference to Exhibit 10.11 to the registration statement on Form F-1 (File No. 333-238596) , as</w:t>
              </w:r>
            </w:hyperlink>
          </w:p>
        </w:tc>
        <w:tc>
          <w:tcPr>
            <w:tcW w:w="16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760" w:type="dxa"/>
            <w:vAlign w:val="bottom"/>
          </w:tcPr>
          <w:p>
            <w:pPr>
              <w:spacing w:after="0"/>
              <w:rPr>
                <w:sz w:val="24"/>
                <w:szCs w:val="24"/>
                <w:color w:val="auto"/>
              </w:rPr>
            </w:pPr>
          </w:p>
        </w:tc>
        <w:tc>
          <w:tcPr>
            <w:tcW w:w="90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2020 Share Incentive Plan of the Registrant (incorporated herein by reference to Exhibit 10.16 to the registration statement on</w:t>
              </w:r>
            </w:hyperlink>
          </w:p>
        </w:tc>
        <w:tc>
          <w:tcPr>
            <w:tcW w:w="20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Form F-1 (File No. 333-238596) , as 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760" w:type="dxa"/>
            <w:vAlign w:val="bottom"/>
          </w:tcPr>
          <w:p>
            <w:pPr>
              <w:spacing w:after="0"/>
              <w:rPr>
                <w:sz w:val="24"/>
                <w:szCs w:val="24"/>
                <w:color w:val="auto"/>
              </w:rPr>
            </w:pPr>
          </w:p>
        </w:tc>
        <w:tc>
          <w:tcPr>
            <w:tcW w:w="89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Subscription Agreement, dated June 5, 2020, between the Registrant and Lake Bleu Prime Healthcare Master Fund Limited</w:t>
              </w:r>
            </w:hyperlink>
          </w:p>
        </w:tc>
        <w:tc>
          <w:tcPr>
            <w:tcW w:w="36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(incorporated herein by reference to Exhibit 10.13 to the registration statement on Form F-1 (File No. 333-238596) , as</w:t>
              </w:r>
            </w:hyperlink>
          </w:p>
        </w:tc>
        <w:tc>
          <w:tcPr>
            <w:tcW w:w="700" w:type="dxa"/>
            <w:vAlign w:val="bottom"/>
            <w:gridSpan w:val="1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English translation of Supplemental Exclusive Business Cooperation Agreement, dated May 10, 2024, between Guangzhou</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Burning Rock Biotech Limited and Burning Rock (Beijing) Biotechnology Co., Ltd. (incorporated herein by reference to</w:t>
              </w:r>
            </w:hyperlink>
          </w:p>
        </w:tc>
        <w:tc>
          <w:tcPr>
            <w:tcW w:w="38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Exhibit 4.14 to our annual report on Form 20-F (File No. 001-39316) filed with the SEC on April 29, 2025)</w:t>
              </w:r>
            </w:hyperlink>
          </w:p>
        </w:tc>
        <w:tc>
          <w:tcPr>
            <w:tcW w:w="1000" w:type="dxa"/>
            <w:vAlign w:val="bottom"/>
            <w:tcBorders>
              <w:top w:val="single" w:sz="8" w:color="0000EE"/>
            </w:tcBorders>
            <w:gridSpan w:val="2"/>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English translation of Supplemental Exclusive Option Agreement, dated May 10, 2024, among Guangzhou Burning Rock</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Biotech Limited, Burning Rock (Beijing) Biotechnology Co., Ltd. and its shareholders (incorporated herein by reference to</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Exhibit 4.15 to our annual report on Form 20-F (File No. 001-39316) filed with the SEC on April 29, 2025)</w:t>
              </w:r>
            </w:hyperlink>
          </w:p>
        </w:tc>
        <w:tc>
          <w:tcPr>
            <w:tcW w:w="1120" w:type="dxa"/>
            <w:vAlign w:val="bottom"/>
            <w:tcBorders>
              <w:top w:val="single" w:sz="8" w:color="0000EE"/>
            </w:tcBorders>
            <w:gridSpan w:val="5"/>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English translation of Supplemental Equity Interest Pledge Agreement, dated May 10, 2024, among Guangzhou Burning Rock</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Biotech Limited, Burning Rock (Beijing) Biotechnology Co., Ltd. and its shareholders (incorporated herein by reference to</w:t>
              </w:r>
            </w:hyperlink>
          </w:p>
        </w:tc>
        <w:tc>
          <w:tcPr>
            <w:tcW w:w="16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Exhibit 4.16 to our annual report on Form 20-F (File No. 001-39316) filed with the SEC on April 29, 2025)</w:t>
              </w:r>
            </w:hyperlink>
          </w:p>
        </w:tc>
        <w:tc>
          <w:tcPr>
            <w:tcW w:w="1120" w:type="dxa"/>
            <w:vAlign w:val="bottom"/>
            <w:tcBorders>
              <w:top w:val="single" w:sz="8" w:color="0000EE"/>
            </w:tcBorders>
            <w:gridSpan w:val="5"/>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English translation of Supplemental Agreement for Power of Attorney , dated May 10, 2024, among Guangzhou Burning Rock</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Biotech Limited, Burning Rock (Beijing) Biotechnology Co., Ltd. and its shareholders (incorporated herein by reference to</w:t>
              </w:r>
            </w:hyperlink>
          </w:p>
        </w:tc>
        <w:tc>
          <w:tcPr>
            <w:tcW w:w="12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Exhibit 4.17 to our annual report on Form 20-F (File No. 001-39316) filed with the SEC on April 29, 2025)</w:t>
              </w:r>
            </w:hyperlink>
          </w:p>
        </w:tc>
        <w:tc>
          <w:tcPr>
            <w:tcW w:w="1120" w:type="dxa"/>
            <w:vAlign w:val="bottom"/>
            <w:tcBorders>
              <w:top w:val="single" w:sz="8" w:color="0000EE"/>
            </w:tcBorders>
            <w:gridSpan w:val="5"/>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760" w:type="dxa"/>
            <w:vAlign w:val="bottom"/>
          </w:tcPr>
          <w:p>
            <w:pPr>
              <w:spacing w:after="0"/>
              <w:rPr>
                <w:sz w:val="24"/>
                <w:szCs w:val="24"/>
                <w:color w:val="auto"/>
              </w:rPr>
            </w:pPr>
          </w:p>
        </w:tc>
        <w:tc>
          <w:tcPr>
            <w:tcW w:w="9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English translation of the executed form of Spousal Consent Letter, dated May 10, 2024, granted by the spouses of individual</w:t>
              </w:r>
            </w:hyperlink>
          </w:p>
        </w:tc>
        <w:tc>
          <w:tcPr>
            <w:tcW w:w="24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shareholders of Burning Rock (Beijing) Biotechnology Co., Ltd. (incorporated herein by reference to Exhibit 4.18 to our annual</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report on Form 20-F (File No. 001-39316) filed with the SEC on April 29, 2025)</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Voting proxy agreement, dated May 10, 2024, by and between the Registrant and Guangzhou Burning Rock Biotech Limited</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(incorporated herein by reference to Exhibit 4.19 to our annual report on Form 20-F (File No. 001-39316) filed with the SEC on</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April 29, 2025)</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tcPr>
          <w:p>
            <w:pPr>
              <w:spacing w:after="0"/>
              <w:rPr>
                <w:sz w:val="24"/>
                <w:szCs w:val="24"/>
                <w:color w:val="auto"/>
              </w:rPr>
            </w:pPr>
          </w:p>
        </w:tc>
        <w:tc>
          <w:tcPr>
            <w:tcW w:w="3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Significant Subsidiaries and VIE of the Registrant</w:t>
            </w:r>
          </w:p>
        </w:tc>
        <w:tc>
          <w:tcPr>
            <w:tcW w:w="5660" w:type="dxa"/>
            <w:vAlign w:val="bottom"/>
            <w:gridSpan w:val="27"/>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760" w:type="dxa"/>
            <w:vAlign w:val="bottom"/>
          </w:tcPr>
          <w:p>
            <w:pPr>
              <w:spacing w:after="0"/>
              <w:rPr>
                <w:sz w:val="24"/>
                <w:szCs w:val="24"/>
                <w:color w:val="auto"/>
              </w:rPr>
            </w:pPr>
          </w:p>
        </w:tc>
        <w:tc>
          <w:tcPr>
            <w:tcW w:w="8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Code of Business Conduct and Ethics of the Registrant (incorporated herein by reference to Exhibit 99.1 to the registration</w:t>
              </w:r>
            </w:hyperlink>
          </w:p>
        </w:tc>
        <w:tc>
          <w:tcPr>
            <w:tcW w:w="42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31"/>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statement on Form F-1 (File No. 333-238596) , as 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760" w:type="dxa"/>
            <w:vAlign w:val="bottom"/>
          </w:tcPr>
          <w:p>
            <w:pPr>
              <w:spacing w:after="0"/>
              <w:rPr>
                <w:sz w:val="24"/>
                <w:szCs w:val="24"/>
                <w:color w:val="auto"/>
              </w:rPr>
            </w:pPr>
          </w:p>
        </w:tc>
        <w:tc>
          <w:tcPr>
            <w:tcW w:w="9260" w:type="dxa"/>
            <w:vAlign w:val="bottom"/>
            <w:gridSpan w:val="31"/>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Amended and Restated Insider Trading Policy (incorporated herein by reference to Exhibit 11.2 to our annual report on Form</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20-F (File No. 001-39316) filed with the SEC on April 29, 2025)</w:t>
              </w:r>
            </w:hyperlink>
          </w:p>
        </w:tc>
        <w:tc>
          <w:tcPr>
            <w:tcW w:w="4320" w:type="dxa"/>
            <w:vAlign w:val="bottom"/>
            <w:tcBorders>
              <w:top w:val="single" w:sz="8" w:color="0000EE"/>
            </w:tcBorders>
            <w:gridSpan w:val="17"/>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760" w:type="dxa"/>
            <w:vAlign w:val="bottom"/>
          </w:tcPr>
          <w:p>
            <w:pPr>
              <w:spacing w:after="0"/>
              <w:rPr>
                <w:sz w:val="24"/>
                <w:szCs w:val="24"/>
                <w:color w:val="auto"/>
              </w:rPr>
            </w:pP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76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1800" w:type="dxa"/>
            <w:vAlign w:val="bottom"/>
            <w:gridSpan w:val="19"/>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760" w:type="dxa"/>
            <w:vAlign w:val="bottom"/>
          </w:tcPr>
          <w:p>
            <w:pPr>
              <w:spacing w:after="0"/>
              <w:rPr>
                <w:sz w:val="24"/>
                <w:szCs w:val="24"/>
                <w:color w:val="auto"/>
              </w:rPr>
            </w:pP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76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1800" w:type="dxa"/>
            <w:vAlign w:val="bottom"/>
            <w:gridSpan w:val="19"/>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760" w:type="dxa"/>
            <w:vAlign w:val="bottom"/>
          </w:tcPr>
          <w:p>
            <w:pPr>
              <w:spacing w:after="0"/>
              <w:rPr>
                <w:sz w:val="24"/>
                <w:szCs w:val="24"/>
                <w:color w:val="auto"/>
              </w:rPr>
            </w:pP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Consent of Ernst &amp; Young Hua Ming LLP, an independent registered public accounting firm</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760" w:type="dxa"/>
            <w:vAlign w:val="bottom"/>
          </w:tcPr>
          <w:p>
            <w:pPr>
              <w:spacing w:after="0"/>
              <w:rPr>
                <w:sz w:val="24"/>
                <w:szCs w:val="24"/>
                <w:color w:val="auto"/>
              </w:rPr>
            </w:pPr>
          </w:p>
        </w:tc>
        <w:tc>
          <w:tcPr>
            <w:tcW w:w="66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Shihui Partners</w:t>
            </w:r>
          </w:p>
        </w:tc>
        <w:tc>
          <w:tcPr>
            <w:tcW w:w="2580" w:type="dxa"/>
            <w:vAlign w:val="bottom"/>
            <w:gridSpan w:val="22"/>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2640" w:type="dxa"/>
            <w:vAlign w:val="bottom"/>
            <w:gridSpan w:val="1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60" w:type="dxa"/>
            <w:vAlign w:val="bottom"/>
          </w:tcPr>
          <w:p>
            <w:pPr>
              <w:spacing w:after="0"/>
              <w:rPr>
                <w:sz w:val="24"/>
                <w:szCs w:val="24"/>
                <w:color w:val="auto"/>
              </w:rPr>
            </w:pPr>
          </w:p>
        </w:tc>
        <w:tc>
          <w:tcPr>
            <w:tcW w:w="89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Policy Relating to Recovery of Erroneously Awarded Compensation (incorporated herein by reference to Exhibit 97.1 to our</w:t>
              </w:r>
            </w:hyperlink>
          </w:p>
        </w:tc>
        <w:tc>
          <w:tcPr>
            <w:tcW w:w="28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annual report on Form 20-F (File No. 001-39316) filed with the SEC on April 29, 2024)</w:t>
              </w:r>
            </w:hyperlink>
          </w:p>
        </w:tc>
        <w:tc>
          <w:tcPr>
            <w:tcW w:w="2920" w:type="dxa"/>
            <w:vAlign w:val="bottom"/>
            <w:gridSpan w:val="23"/>
          </w:tcPr>
          <w:p>
            <w:pPr>
              <w:spacing w:after="0"/>
              <w:rPr>
                <w:sz w:val="17"/>
                <w:szCs w:val="17"/>
                <w:color w:val="auto"/>
              </w:rPr>
            </w:pPr>
          </w:p>
        </w:tc>
      </w:tr>
      <w:tr>
        <w:trPr>
          <w:trHeight w:val="32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w:t>
            </w:r>
          </w:p>
        </w:tc>
      </w:tr>
      <w:tr>
        <w:trPr>
          <w:trHeight w:val="234"/>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140"/>
          </w:cols>
          <w:pgMar w:left="320" w:top="482" w:right="439" w:bottom="1440" w:gutter="0" w:footer="0" w:header="0"/>
        </w:sectPr>
      </w:pP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82" w:right="4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Burning Rock Biotech Limited</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Yusheng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Yusheng Han</w:t>
      </w:r>
    </w:p>
    <w:p>
      <w:pPr>
        <w:spacing w:after="0" w:line="27" w:lineRule="exact"/>
        <w:rPr>
          <w:sz w:val="20"/>
          <w:szCs w:val="20"/>
          <w:color w:val="auto"/>
        </w:rPr>
      </w:pPr>
    </w:p>
    <w:p>
      <w:pPr>
        <w:jc w:val="both"/>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620"/>
          </w:cols>
          <w:pgMar w:left="320" w:top="482" w:right="9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ID:1408)</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4940" w:type="dxa"/>
            <w:vAlign w:val="bottom"/>
            <w:gridSpan w:val="3"/>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2023,2024 and 2025</w:t>
            </w:r>
          </w:p>
        </w:tc>
        <w:tc>
          <w:tcPr>
            <w:tcW w:w="29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0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2023,2024 and 2025</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75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2023,2024 and 2025</w:t>
            </w:r>
          </w:p>
        </w:tc>
        <w:tc>
          <w:tcPr>
            <w:tcW w:w="29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6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F-14</w:t>
            </w:r>
          </w:p>
        </w:tc>
        <w:tc>
          <w:tcPr>
            <w:tcW w:w="0" w:type="dxa"/>
            <w:vAlign w:val="bottom"/>
          </w:tcPr>
          <w:p>
            <w:pPr>
              <w:spacing w:after="0"/>
              <w:rPr>
                <w:sz w:val="1"/>
                <w:szCs w:val="1"/>
                <w:color w:val="auto"/>
              </w:rPr>
            </w:pPr>
          </w:p>
        </w:tc>
      </w:tr>
      <w:tr>
        <w:trPr>
          <w:trHeight w:val="385"/>
        </w:trPr>
        <w:tc>
          <w:tcPr>
            <w:tcW w:w="31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92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Burning Rock Biotech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Burning Rock Biotech Limited (the Company) as of December 31, 2025 and 2024, the related consolidated statements of comprehensive loss,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4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60" w:hanging="4"/>
        <w:spacing w:after="0" w:line="255" w:lineRule="auto"/>
        <w:tabs>
          <w:tab w:leader="none" w:pos="3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82" w:right="4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82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Impairment assessment of long-lived assets</w:t>
            </w:r>
          </w:p>
        </w:tc>
      </w:tr>
      <w:tr>
        <w:trPr>
          <w:trHeight w:val="319"/>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2025, the Company’s long-lived assets amounted to RMB74 million. As discussed in Note 2 to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consolidated financial statements, the Company groups long-lived assets at the lowest level of identifiable cash flows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assesses the asset group for impairment whenever events or changes in circumstances indicate that their carrying</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amounts may not be fully recoverable. If impairment indicators are present, the Company evaluates the recoverability</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long-lived assets in an asset group by comparing the carrying amount of the assets to the future undiscounted cash</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flows expected to result from the use of the assets and their eventual disposition. As a result of the impairment</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assessment, no impairment losses were recognized for the Company’s long-lived assets during the year ended</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319"/>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Auditing management’s impairment assessment of long-lived assets required subjective auditor judgment due to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estimation uncertainty in determining the future undiscounted cash flows of the asset group for which impairment</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indicators are identified. The significant assumption used is the revenue growth rate, which is forward looking and</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could be affected by future market conditions.</w:t>
            </w:r>
          </w:p>
        </w:tc>
      </w:tr>
      <w:tr>
        <w:trPr>
          <w:trHeight w:val="317"/>
        </w:trPr>
        <w:tc>
          <w:tcPr>
            <w:tcW w:w="11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in  </w:t>
            </w:r>
            <w:r>
              <w:rPr>
                <w:rFonts w:ascii="Times New Roman" w:cs="Times New Roman" w:eastAsia="Times New Roman" w:hAnsi="Times New Roman"/>
                <w:sz w:val="18"/>
                <w:szCs w:val="18"/>
                <w:color w:val="auto"/>
              </w:rPr>
              <w:t>To test the Company’s impairment assessment, our audit procedures included, among others, evaluating the</w:t>
            </w:r>
          </w:p>
        </w:tc>
      </w:tr>
      <w:tr>
        <w:trPr>
          <w:trHeight w:val="218"/>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Our Audit</w:t>
            </w: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significant assumption used to develop the future undiscounted cash flows of the asset group and testing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completeness and accuracy of the underlying data used by the Company. For example, we considered the Company’s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performance and current market trends when evaluating the revenue growth rate. We also performed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sensitivity analyses by assessing the changes to the future undiscounted cash flows of the asset group resulting from</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the significant assumption.</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April 2026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73"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2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Borders>
              <w:top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519,849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478,392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5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2,696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of allowance of RMB45,867 and RMB59,254 (US$8,473) as of December 31, 2024 and 2025,</w:t>
            </w: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169,611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(net of allowance of RMB61,856 and RMB65,651 (US$9,388) as of December 31, 2024 and 2025, respectively)</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13,855</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12,301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48,576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Contract costs</w:t>
            </w:r>
          </w:p>
        </w:tc>
        <w:tc>
          <w:tcPr>
            <w:tcW w:w="5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8,399</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18,611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776,618</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738,586</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47,152</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31,099</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53,188</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42,774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6,117</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7,632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108,687</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81,789</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885,305</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820,375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117,312</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gridSpan w:val="2"/>
          </w:tcPr>
          <w:p>
            <w:pPr>
              <w:spacing w:after="0"/>
              <w:rPr>
                <w:sz w:val="12"/>
                <w:szCs w:val="12"/>
                <w:color w:val="auto"/>
              </w:rPr>
            </w:pPr>
          </w:p>
        </w:tc>
        <w:tc>
          <w:tcPr>
            <w:tcW w:w="76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Current liabilities </w:t>
            </w:r>
            <w:r>
              <w:rPr>
                <w:rFonts w:ascii="Times New Roman" w:cs="Times New Roman" w:eastAsia="Times New Roman" w:hAnsi="Times New Roman"/>
                <w:sz w:val="16"/>
                <w:szCs w:val="16"/>
                <w:color w:val="auto"/>
              </w:rPr>
              <w:t>(including amounts of the consolidated VIE and its subsidiaries without recourse to the primary beneficiary of</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RMB216,696 and RMB212,161 (US$30,338) as of December 31, 2024 and 2025, respectively):</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33,747</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40,744</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117,895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107,819</w:t>
            </w:r>
          </w:p>
        </w:tc>
        <w:tc>
          <w:tcPr>
            <w:tcW w:w="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liabilities and other current liabilities</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89,498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80,861</w:t>
            </w: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11,563</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592</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592</w:t>
            </w:r>
          </w:p>
        </w:tc>
        <w:tc>
          <w:tcPr>
            <w:tcW w:w="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24,567</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16,762</w:t>
            </w:r>
          </w:p>
        </w:tc>
        <w:tc>
          <w:tcPr>
            <w:tcW w:w="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246,978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shd w:val="clear" w:color="auto" w:fill="CCEEFF"/>
              </w:rPr>
              <w:t>35,318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Non-current liabilities </w:t>
            </w:r>
            <w:r>
              <w:rPr>
                <w:rFonts w:ascii="Times New Roman" w:cs="Times New Roman" w:eastAsia="Times New Roman" w:hAnsi="Times New Roman"/>
                <w:sz w:val="16"/>
                <w:szCs w:val="16"/>
                <w:color w:val="auto"/>
              </w:rPr>
              <w:t>(including amounts of the consolidated VIE and its subsidiaries without recourse to the primary</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beneficiary of RMB36,840 and RMB24,687 (US$3,530) as of December 31, 2024 and 2025, respectively):</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1,700</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11,975</w:t>
            </w:r>
          </w:p>
        </w:tc>
        <w:tc>
          <w:tcPr>
            <w:tcW w:w="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 of operating lease liabilities</w:t>
            </w:r>
          </w:p>
        </w:tc>
        <w:tc>
          <w:tcPr>
            <w:tcW w:w="5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27,754</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24,458</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38,179</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38,133</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304,478</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285,111</w:t>
            </w:r>
          </w:p>
        </w:tc>
        <w:tc>
          <w:tcPr>
            <w:tcW w:w="140" w:type="dxa"/>
            <w:vAlign w:val="bottom"/>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40,770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7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6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spacing w:after="0"/>
              <w:rPr>
                <w:sz w:val="16"/>
                <w:szCs w:val="16"/>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9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 (CONTINUED)</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ordinary shares (par value of US$0.0002 per share; 230,000,000 shares authorized; 90,289,123 and 87,857,741</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2024 and 2025, respectively)</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Class B ordinary shares (par value of US$0.0002 per share; 20,000,000 shares authorized; 17,324,848 shares issued</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outstanding as of December 31, 2024 and 2025)</w:t>
            </w:r>
          </w:p>
        </w:tc>
        <w:tc>
          <w:tcPr>
            <w:tcW w:w="5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13 </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(63,264)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(57,193)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(8,178)</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5,002,255</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5,010,060</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5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(4,200,261)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(4,255,607)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(608,544)</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8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(158,048)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(162,137)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(23,185)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580,827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535,264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76,542</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885,305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820,375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8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20" w:type="dxa"/>
            <w:vAlign w:val="bottom"/>
            <w:gridSpan w:val="2"/>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6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345,030</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290,738</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316,111</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45,203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192,405</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225,084</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223,457</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31,954</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537,435</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515,822</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539,568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services (including related party amounts of RMB18, nil and nil for the years ended</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2024 and 2025, respectively)</w:t>
            </w:r>
          </w:p>
        </w:tc>
        <w:tc>
          <w:tcPr>
            <w:tcW w:w="6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(101,638)</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(88,323)</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(79,317)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(72,570)</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(65,099)</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(57,337)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(174,208)</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(153,422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(136,654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363,227</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362,400</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402,914</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57,615</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(347,016)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(232,290)</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(166,494)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(247,711)</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(190,904)</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(165,175)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(437,821)</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(261,638)</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(126,090)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(35,127)</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(1,032,548)</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(719,959)</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(457,759)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(65,459)</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(669,321)</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(357,559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(54,845)</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17,956</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12,212</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8,053</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6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(651,301)</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(340,741)</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(53,790)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(653,689)</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(346,626)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(55,346)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820" w:type="dxa"/>
            <w:vAlign w:val="bottom"/>
            <w:vMerge w:val="restart"/>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98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Burning Rock Biotech Limited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(653,689)</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(346,626)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(55,346)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(7,916)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820" w:type="dxa"/>
            <w:vAlign w:val="bottom"/>
            <w:vMerge w:val="restart"/>
          </w:tcPr>
          <w:p>
            <w:pPr>
              <w:jc w:val="center"/>
              <w:ind w:left="156"/>
              <w:spacing w:after="0"/>
              <w:rPr>
                <w:sz w:val="20"/>
                <w:szCs w:val="20"/>
                <w:color w:val="auto"/>
              </w:rPr>
            </w:pPr>
            <w:r>
              <w:rPr>
                <w:rFonts w:ascii="Times New Roman" w:cs="Times New Roman" w:eastAsia="Times New Roman" w:hAnsi="Times New Roman"/>
                <w:sz w:val="18"/>
                <w:szCs w:val="18"/>
                <w:color w:val="auto"/>
                <w:w w:val="99"/>
              </w:rPr>
              <w:t>15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8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used in loss per share computation:</w:t>
            </w:r>
          </w:p>
        </w:tc>
        <w:tc>
          <w:tcPr>
            <w:tcW w:w="82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w w:val="99"/>
              </w:rPr>
              <w:t>15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8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85,071,691</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85,610,197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88,979,617</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88,979,617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17,324,848</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17,324,848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4,189</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(343,141)</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(59,435)</w:t>
            </w:r>
          </w:p>
        </w:tc>
        <w:tc>
          <w:tcPr>
            <w:tcW w:w="2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Burning Rock Biotech Limited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(649,500)</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(343,141)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(59,435)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(8,501)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vMerge w:val="restart"/>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21"/>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60" w:type="dxa"/>
            <w:vAlign w:val="bottom"/>
            <w:gridSpan w:val="2"/>
          </w:tcPr>
          <w:p>
            <w:pPr>
              <w:jc w:val="center"/>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102,643,444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138</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(58,919)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4,582,790</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(3,199,946)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(165,722)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1,158,341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(653,689)</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(653,689)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(note 12)</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260,719</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260,719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 (note 13)</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(449,783)</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(6,977)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5,907</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(note 12)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258,646</w:t>
            </w:r>
          </w:p>
        </w:tc>
        <w:tc>
          <w:tcPr>
            <w:tcW w:w="2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Refund for prepaid subscription for forfeited</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(11,859)</w:t>
            </w: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102,440,448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137</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4,849,337</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(3,853,635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(161,533)</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40" w:type="dxa"/>
            <w:vAlign w:val="bottom"/>
            <w:vMerge w:val="restart"/>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62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102,440,448</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137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(65,896)</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4,849,337</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(3,853,635)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(161,533)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768,410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(346,626)</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(346,626)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3,485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(note 12)</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155,622</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155,622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 (note 13)</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(note 12)</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5,173,523</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(2,704)</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107,613,971</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145</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(63,264)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5,002,255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(4,200,261)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(158,048)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580,827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90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80" w:type="dxa"/>
            <w:vAlign w:val="bottom"/>
            <w:vMerge w:val="restart"/>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3"/>
                <w:szCs w:val="13"/>
                <w:color w:val="auto"/>
              </w:rPr>
            </w:pPr>
          </w:p>
        </w:tc>
        <w:tc>
          <w:tcPr>
            <w:tcW w:w="190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2"/>
          </w:tcPr>
          <w:p>
            <w:pPr>
              <w:jc w:val="center"/>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107,613,971</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145</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(63,264)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5,002,255</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(4,200,261)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(158,048)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580,827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(55,346)</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(55,346)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(note 12)</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13,876</w:t>
            </w: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 (note 13)</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(note 12)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1,074,846</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6,071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(6,071)</w:t>
            </w: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options (note 12)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(3,506,228)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105,182,589</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141</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(57,193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5,010,060</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(4,255,607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(162,137)</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535,264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 (US$)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105,182,589</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(8,178)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716,429</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(608,544)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(23,185)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76,542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6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0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(653,689)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(346,626)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(55,346)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(7,916)</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foreign currency transactions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6,079</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3,112</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18,502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10,537</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2,457</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for long-lived assets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35,127</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for equity-method investment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disposal of equipment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method investee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260,719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155,622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13,876</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1,984</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 receivable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operating lease expenses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35,196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26,494</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24,437</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Derecognition of right-of-use asset and lease liability</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(32,626)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(30,985)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(4,430)</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57,277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and non-current assets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6,447</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(31,124)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18,892</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7,176</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(19,247)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(37,744)</w:t>
            </w:r>
          </w:p>
        </w:tc>
        <w:tc>
          <w:tcPr>
            <w:tcW w:w="24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(27,619)   (25,120)   (3,592)</w:t>
            </w:r>
          </w:p>
        </w:tc>
      </w:tr>
      <w:tr>
        <w:trPr>
          <w:trHeight w:val="27"/>
        </w:trPr>
        <w:tc>
          <w:tcPr>
            <w:tcW w:w="7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(255,783)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(92,261)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(28,443)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(4,068)</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(4,412)</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(4,391)</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82"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66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spacing w:after="0"/>
              <w:rPr>
                <w:sz w:val="12"/>
                <w:szCs w:val="12"/>
                <w:color w:val="auto"/>
              </w:rPr>
            </w:pPr>
          </w:p>
        </w:tc>
        <w:tc>
          <w:tcPr>
            <w:tcW w:w="6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Refund of consideration for Employee Share Incentive Program</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(41,855)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borrowings</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financing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decreases in cash, cash equivalents and restricted cash</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(310,052</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(93,054)</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(41,074)</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(5,873)</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year</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615,216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522,162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74,668</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year</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615,216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522,162</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481,088</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68,795</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paid</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information: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included in prepayments and other non-current assets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615,096</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519,849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478,392</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68,409</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2,696</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statements of cash flows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615,216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522,162</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481,088</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68,795</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82"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52"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Burning Rock Biotech Limited (the “Company”) is a limited liability company incorporated in the Cayman Islands on March 10, 2014. The Company does not conduct any substantive operations on its own but instead conducts its business operations through its subsidiaries, the variable interest entity (“VIE”) and subsidiaries of the VIE. The Company, together with its subsidiaries, the VIE and the VIE’s subsidiaries (collectively, the “Group”) are principally engaged in developing and providing next-generation sequencing (“NGS”)-based products and services in the People’s Republic of China (the “PRC” or “China”).</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12, 2020, the Company completed its initial public offering (“IPO”) on the NASDAQ Global Select Market.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the Company’s principal subsidiaries, VIE and VIE’s subsidiaries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2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52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6"/>
        </w:trPr>
        <w:tc>
          <w:tcPr>
            <w:tcW w:w="2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8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of legal ownership</w:t>
            </w:r>
          </w:p>
        </w:tc>
        <w:tc>
          <w:tcPr>
            <w:tcW w:w="2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gridSpan w:val="6"/>
            <w:vMerge w:val="continue"/>
          </w:tcPr>
          <w:p>
            <w:pPr>
              <w:spacing w:after="0"/>
              <w:rPr>
                <w:sz w:val="14"/>
                <w:szCs w:val="14"/>
                <w:color w:val="auto"/>
              </w:rPr>
            </w:pP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by the Company</w:t>
            </w: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Subsidiaries</w:t>
            </w:r>
          </w:p>
        </w:tc>
        <w:tc>
          <w:tcPr>
            <w:tcW w:w="1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 Hong Kong Limited</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April 1, 2014</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Hong Kong</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Investment holding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Burning Rock Biotech</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(the “WFOE”)</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December 12, 2021</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Investment holding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Beijing Burning Rock Biotech Co.,</w:t>
            </w: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Ltd. (the “Original WFOE”)</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June 13, 2014</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Trading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Burning Rock Biotechnology</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(Shanghai) Co., Ltd.</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July 4, 2016</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Burning Rock Dx LLC</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August 28, 2019</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Cancer therapy selection test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VIE</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Burning Rock (Beijing)</w:t>
            </w: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Biotechnology Co., Ltd.</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January 7, 2014</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Nil</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VIE’s subsidiaries</w:t>
            </w:r>
          </w:p>
        </w:tc>
        <w:tc>
          <w:tcPr>
            <w:tcW w:w="15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Guangzhou Burning Rock Dx Co.,</w:t>
            </w: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Cancer therapy selection test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Ltd.</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March 18, 2014</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Nil</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sales of reagent kits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Burning Rock Medical</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Facilitation of laboratory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Co., Ltd.</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equipment sales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January 6, 2015</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Nil</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sales of reagent kits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F-14</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82" w:right="6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To comply with PRC laws and regulations which prohibit and restrict foreign ownership of business involving the development and application of genomic diagnosis and treatment technology, the Group conducts its business in the PRC principally through the VIE and the VIE’s subsidiaries. The equity interests of the VIE are legally held by PRC shareholders (the “Nominee Shareholders”).</w:t>
      </w:r>
    </w:p>
    <w:p>
      <w:pPr>
        <w:spacing w:after="0" w:line="176"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 xml:space="preserve">Despite the lack of equity ownership, through a series of contractual arrangements (the “VIE agreements”), the Nominee Shareholders of the VIE effectively assigned all of their voting rights underlying their equity interests in the VIE to the Company, and therefore, the Company has the power to direct the activities of the VIE that most significantly impact its economic performance. The Company also has the right to receive economic benefits that potentially could be significant to the VIE. Therefore, the Company is considered the primary beneficiary of the VIE and the Company consolidates the VIE in accordance with SEC Regulation S-X-3A-02 and Accounting Standards Codification (“ASC”) Topic 810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VIE agreements: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Business Cooperation Agreement</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Pursuant to the exclusive business cooperation agreement entered into amongst the Original WFOE and the VIE on June 20, 2014, the Original WFOE provides exclusive business support, technology services and consulting services in return for service fees, which is adjustable at the sole discretion of the Original WFOE. Without the Original WFOE’s consent, the VIE cannot procure services from any third party or enter into similar service arrangements with any other third party, except for the ones appointed by the Original WFOE. The agreement was effective for 20 years from June 20, 2014 and automatically renew for 10 years if all parties have no objection.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Nominee Shareholders signed Power of Attorney on June 20, 2014 to irrevocably appoint the Original WFOE, or its designated party, as the attorney-in-fact to exercise rights on the Nominee Shareholders’ behalf any and all rights that such shareholder has in respect of its equity interest in the VIE such as the right to appoint or remove directors, supervisors and officers, as well as the right to sell, transfer, pledge or dispose of all or any portion of the equity interests held by such shareholder, or of the assets held by the VIE. This agreement will remain effective until it is terminated by the Original WFOE.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Option Agreement</w:t>
      </w:r>
    </w:p>
    <w:p>
      <w:pPr>
        <w:spacing w:after="0" w:line="11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Pursuant to the exclusive option agreements entered into amongst the VIE, the Nominee Shareholders and the Original WFOE on June 20, 2014, the Nominee Shareholders irrevocably granted the Original WFOE an exclusive option to request the Nominee Shareholders to transfer or sell any part or all of its equity interests in the VIE to the Original WFOE, or its designees. The purchase price of the equity interests in the VIE is equal to the minimum price required by PRC law. Any proceeds received by the Nominee Shareholders from the exercise of the right shall be remitted to the Original WFOE, to the extent permitted under the PRC laws. Without the Original WFOE’s prior written consent, the VIE and the Nominee Shareholders may not amend its articles of association, increase or decrease the registered capital, sell or otherwise dispose of its assets or beneficial interest, create or allow any encumbrance on its assets or other beneficial interests, provide any loans or guarantees and request any dividends or other form of assets. This agreement is not terminated until all of the equity interest of the VIE has been transferred to the Original WFOE or the person(s) designated by the Original WFOE.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82"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Interest Pledge Agreement</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the equity interest pledge agreements entered into amongst the Original WFOE, the VIE and the Nominee Shareholders on June 20, 2014, the Nominee Shareholders pledged all of their equity interests in the VIE to the Original WFOE as collateral to secure their obligations under the exclusive business cooperation agreement. The Original WFOE is entitled to all dividends during the effective period of the share pledge except as it agrees otherwise in writing. If the VIE or any of the Nominee Shareholders breaches its contractual obligations, the Original WFOE is entitled to certain rights regarding the pledged equity interests, including the right to receive proceeds from the auction or sale of all or part of the pledged equity interests of VIE in accordance with the PRC law. The Nominee Shareholders agree not to create any encumbrance on or otherwise transfer or dispose of their respective equity interests in the VIE, without the prior consent of the Original WFOE.</w:t>
      </w:r>
    </w:p>
    <w:p>
      <w:pPr>
        <w:spacing w:after="0" w:line="18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Power of Attorney, Exclusive Option Agreement and Equity Interest Pledge Agreement were amended and restated on August 27, 2015, July 1, 2016, April 19, 2018 and January 4, 2019 to reflect the new nominee shareholders appointed by the Series A, Series B and Series C preferred shareholders and the resulting equity ratio adjustments from the preferred shareholders’ investment.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21, 2019, the VIE Agreements were supplemented by the following terms:</w:t>
      </w:r>
    </w:p>
    <w:p>
      <w:pPr>
        <w:spacing w:after="0" w:line="129"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Option Agreement</w:t>
      </w:r>
    </w:p>
    <w:p>
      <w:pPr>
        <w:spacing w:after="0" w:line="133" w:lineRule="exact"/>
        <w:rPr>
          <w:sz w:val="20"/>
          <w:szCs w:val="20"/>
          <w:color w:val="auto"/>
        </w:rPr>
      </w:pPr>
    </w:p>
    <w:p>
      <w:pPr>
        <w:ind w:left="540" w:right="100" w:hanging="316"/>
        <w:spacing w:after="0" w:line="266"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irrevocably grants the Original WFOE an exclusive asset purchase option whereby the Original WFOE has the right to purchase or designate another party to purchase part or all of the assets of the VIE as permitted under the PRC laws. The purchase price of the VIE’s assets is equal to the book value of the assets or the minimum price as permitted by applicable PRC law, whichever is higher; and</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WFOE has the right to unilaterally amendment, supplement and termination of this agreement.</w:t>
      </w:r>
    </w:p>
    <w:p>
      <w:pPr>
        <w:spacing w:after="0" w:line="250"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Business Cooperation Agreement</w:t>
      </w:r>
    </w:p>
    <w:p>
      <w:pPr>
        <w:spacing w:after="0" w:line="133" w:lineRule="exact"/>
        <w:rPr>
          <w:sz w:val="20"/>
          <w:szCs w:val="20"/>
          <w:color w:val="auto"/>
        </w:rPr>
      </w:pPr>
    </w:p>
    <w:p>
      <w:pPr>
        <w:jc w:val="both"/>
        <w:ind w:left="540" w:right="120" w:hanging="316"/>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these services, the VIE will pay a service fee, equal to the VIE’s profit before tax, after recovering any accumulated losses of the VIE and its subsidiaries from the preceding fiscal year, and deducting working capital, expenses, tax and a reasonable amount of operating profit according to applicable tax law principles and tax practice; and</w:t>
      </w:r>
    </w:p>
    <w:p>
      <w:pPr>
        <w:spacing w:after="0" w:line="81" w:lineRule="exact"/>
        <w:rPr>
          <w:rFonts w:ascii="Times New Roman" w:cs="Times New Roman" w:eastAsia="Times New Roman" w:hAnsi="Times New Roman"/>
          <w:sz w:val="18"/>
          <w:szCs w:val="18"/>
          <w:color w:val="auto"/>
        </w:rPr>
      </w:pPr>
    </w:p>
    <w:p>
      <w:pPr>
        <w:ind w:left="540" w:right="20" w:hanging="316"/>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will be in effect for 10 years unless the Original WFOE unilaterally terminates the agreement by giving written notification at least thirty days prior to the expiration of the agreement. The Original WFOE may at its sole discretion unilaterally extend the term of this agreement prior to its expiration upon notice to the VIE.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82"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160"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Interest Pledge Agreement</w:t>
      </w:r>
    </w:p>
    <w:p>
      <w:pPr>
        <w:spacing w:after="0" w:line="133" w:lineRule="exact"/>
        <w:rPr>
          <w:sz w:val="20"/>
          <w:szCs w:val="20"/>
          <w:color w:val="auto"/>
        </w:rPr>
      </w:pPr>
    </w:p>
    <w:p>
      <w:pPr>
        <w:ind w:left="540" w:right="120" w:hanging="316"/>
        <w:spacing w:after="0" w:line="266"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Shareholders pledged all of their respective equity interests in the VIE to the Original WFOE as continuing first priority security interest to guarantee the performance of these Nominee Shareholders and the VIE’s obligations under the power of attorney, the exclusive option agreement and the exclusive business cooperation agreement; and</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remain effective until all the contractual obligations have been satisfied in full under all the agreements mentioned above.</w:t>
      </w:r>
    </w:p>
    <w:p>
      <w:pPr>
        <w:spacing w:after="0" w:line="250"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Support Undertaking Letter</w:t>
      </w:r>
    </w:p>
    <w:p>
      <w:pPr>
        <w:spacing w:after="0" w:line="133" w:lineRule="exact"/>
        <w:rPr>
          <w:sz w:val="20"/>
          <w:szCs w:val="20"/>
          <w:color w:val="auto"/>
        </w:rPr>
      </w:pPr>
    </w:p>
    <w:p>
      <w:pPr>
        <w:ind w:left="540" w:right="40" w:hanging="316"/>
        <w:spacing w:after="0" w:line="261"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financial support undertaking letter, the Company is obligated and hereby undertakes to provide unlimited financial support to the VIE, to the extent permissible under the applicable PRC laws and regulations, whether or not any such operational loss is actually incurred. The Company will not request repayment of the loans or borrowings if the VIE or its Nominee Shareholders do not have sufficient funds or are unable to repay.</w:t>
      </w:r>
    </w:p>
    <w:p>
      <w:pPr>
        <w:spacing w:after="0" w:line="205"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 Proxy Agreement</w:t>
      </w:r>
    </w:p>
    <w:p>
      <w:pPr>
        <w:spacing w:after="0" w:line="133" w:lineRule="exact"/>
        <w:rPr>
          <w:sz w:val="20"/>
          <w:szCs w:val="20"/>
          <w:color w:val="auto"/>
        </w:rPr>
      </w:pPr>
    </w:p>
    <w:p>
      <w:pPr>
        <w:ind w:left="540" w:right="340" w:hanging="316"/>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voting proxy agreement, the Original WFOE irrevocably and unconditionally commits to execute its rights under the power of attorney in accordance with the instructions from the Company.</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May 10, 2024, the VIE Agreements were modified except for the Voting Proxy Agreement between the Original WFOE and the Company, which was terminated, and a new voting proxy agreement was signed by the Company and the WFOE. Pursuant to the amended agreements and the new proxy agreement, the Original WFOE shall transfer all its rights and obligations under the original agreement in June 2014 and the amended agreements in October 21, 2019 and May 10, 2024 to the WFOE, and the WFOE irrevocably and unconditionally commits to execute its rights under the power of attorney in accordance with the instructions from the Company.</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As a result of the amended agreements on October 21, 2019 and May 10, 2024, the power and the rights pursuant to the power of attorney have since been effectively assigned to the Company which has the power to direct the activities of the VIE that most significantly impact the VIE’s economic performance. The Company is also obligated to absorb the expected losses of the VIE through the financial support as described above. The Company and the WFOE, as a group of related parties, hold all of the variable interests of the VIE. The Company has been determined to be most closely associated with the VIE within the group of related parties and is the primary beneficiary of the VIE.</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the VIE was subject to control by the Company immediately before and after the VIE Agreements were last modified on May 10, 2024, the primary beneficiary of the VIE was not changed. The change from the Original WFOE to the WFOE constitutes an internal group reorganization and does not result any accounting impact on the consolidated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82"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opinion of the Company’s legal counsel, (i) the ownership structure of the WFOE and its VIE is in compliance with PRC laws and regulations;</w:t>
      </w:r>
    </w:p>
    <w:p>
      <w:pPr>
        <w:spacing w:after="0" w:line="27" w:lineRule="exact"/>
        <w:rPr>
          <w:sz w:val="20"/>
          <w:szCs w:val="20"/>
          <w:color w:val="auto"/>
        </w:rPr>
      </w:pPr>
    </w:p>
    <w:p>
      <w:pPr>
        <w:ind w:left="380" w:hanging="264"/>
        <w:spacing w:after="0"/>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VIE and their shareholders are valid and binding, and not in violation of current PRC laws or regulations;</w:t>
      </w:r>
    </w:p>
    <w:p>
      <w:pPr>
        <w:spacing w:after="0" w:line="9" w:lineRule="exact"/>
        <w:rPr>
          <w:rFonts w:ascii="Times New Roman" w:cs="Times New Roman" w:eastAsia="Times New Roman" w:hAnsi="Times New Roman"/>
          <w:sz w:val="18"/>
          <w:szCs w:val="18"/>
          <w:color w:val="auto"/>
        </w:rPr>
      </w:pPr>
    </w:p>
    <w:p>
      <w:pPr>
        <w:ind w:left="120" w:right="480" w:hanging="4"/>
        <w:spacing w:after="0" w:line="260" w:lineRule="auto"/>
        <w:tabs>
          <w:tab w:leader="none" w:pos="4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proxy agreement between the Company and the WFOE is valid in accordance with the articles of association of the Company and Cayman Islands Law.</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However, uncertainties in the PRC legal system could cause the relevant regulatory authorities to find the current VIE Agreements and businesses to be in violation of any existing or future PRC laws or regulations and could limit the Company’s ability to enforce its rights under these contractual arrangements. Furthermore, the nominee shareholders of the VIE may have interests that are different from those of the Company, which could potentially increase the risk that they would seek to act contrary to the terms of the contractual agreements with the VIE.</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if the current structure or any of the contractual arrangements were found to be in violation of any existing or future PRC laws or regulations, the Company may be subject to penalties, including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20"/>
          </w:cols>
          <w:pgMar w:left="320" w:top="482" w:right="5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assets and liabilities of the VIE and subsidiaries of the VIE included in the Group’s consolidated balance sheets: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RMB45,590 and RMB58,895 (US$8,422) as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December 31, 2024 and 2025, respectively)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 assets (net of allowance of RMB61,856 and RMB65,651 (US$9,388) as of</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517,689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989,804</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987,452</w:t>
            </w: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67,218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47,466</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1,057,022</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1,034,918</w:t>
            </w: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2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1,653,528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1,985,018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1,865,689</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36,840</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24,687</w:t>
            </w: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2,021,858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1,890,376</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82"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receivables/payables represent balances of VIE and subsidiaries of the VIE due from/to the Company and the Group’s consolidated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table sets forth the results of operations of the VIE and subsidiaries of the VIE included in the Group’s consolidated statements of comprehensive loss: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70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5"/>
        </w:trPr>
        <w:tc>
          <w:tcPr>
            <w:tcW w:w="6800" w:type="dxa"/>
            <w:vAlign w:val="bottom"/>
          </w:tcPr>
          <w:p>
            <w:pPr>
              <w:spacing w:after="0"/>
              <w:rPr>
                <w:sz w:val="13"/>
                <w:szCs w:val="13"/>
                <w:color w:val="auto"/>
              </w:rPr>
            </w:pPr>
          </w:p>
        </w:tc>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3"/>
                <w:szCs w:val="13"/>
                <w:color w:val="auto"/>
              </w:rPr>
            </w:pPr>
          </w:p>
        </w:tc>
        <w:tc>
          <w:tcPr>
            <w:tcW w:w="720" w:type="dxa"/>
            <w:vAlign w:val="bottom"/>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3"/>
                <w:szCs w:val="13"/>
                <w:color w:val="auto"/>
              </w:rPr>
            </w:pPr>
          </w:p>
        </w:tc>
        <w:tc>
          <w:tcPr>
            <w:tcW w:w="920" w:type="dxa"/>
            <w:vAlign w:val="bottom"/>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3"/>
                <w:szCs w:val="13"/>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537,502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511,590</w:t>
            </w: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532,828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76,194</w:t>
            </w: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(340,575)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(126,621)</w:t>
            </w: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96,146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13,751</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sets forth the cash flows of the VIE and subsidiaries of the VIE included in the Group’s consolidated statements of cash flows: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1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3"/>
                <w:szCs w:val="13"/>
                <w:color w:val="auto"/>
              </w:rPr>
            </w:pPr>
          </w:p>
        </w:tc>
        <w:tc>
          <w:tcPr>
            <w:tcW w:w="700" w:type="dxa"/>
            <w:vAlign w:val="bottom"/>
          </w:tcPr>
          <w:p>
            <w:pPr>
              <w:jc w:val="right"/>
              <w:ind w:right="97"/>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3"/>
                <w:szCs w:val="13"/>
                <w:color w:val="auto"/>
              </w:rPr>
            </w:pPr>
          </w:p>
        </w:tc>
        <w:tc>
          <w:tcPr>
            <w:tcW w:w="820" w:type="dxa"/>
            <w:vAlign w:val="bottom"/>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r>
      <w:tr>
        <w:trPr>
          <w:trHeight w:val="216"/>
        </w:trPr>
        <w:tc>
          <w:tcPr>
            <w:tcW w:w="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w:t>
            </w:r>
          </w:p>
        </w:tc>
        <w:tc>
          <w:tcPr>
            <w:tcW w:w="1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(used in)/generated from</w:t>
            </w:r>
          </w:p>
        </w:tc>
        <w:tc>
          <w:tcPr>
            <w:tcW w:w="4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(2,768)</w:t>
            </w: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(160,551)</w:t>
            </w:r>
          </w:p>
        </w:tc>
        <w:tc>
          <w:tcPr>
            <w:tcW w:w="820" w:type="dxa"/>
            <w:vAlign w:val="bottom"/>
            <w:shd w:val="clear" w:color="auto" w:fill="CCEEFF"/>
          </w:tcPr>
          <w:p>
            <w:pPr>
              <w:jc w:val="right"/>
              <w:ind w:right="177"/>
              <w:spacing w:after="0" w:line="202" w:lineRule="exact"/>
              <w:rPr>
                <w:sz w:val="20"/>
                <w:szCs w:val="20"/>
                <w:color w:val="auto"/>
              </w:rPr>
            </w:pPr>
            <w:r>
              <w:rPr>
                <w:rFonts w:ascii="Times New Roman" w:cs="Times New Roman" w:eastAsia="Times New Roman" w:hAnsi="Times New Roman"/>
                <w:sz w:val="18"/>
                <w:szCs w:val="18"/>
                <w:color w:val="auto"/>
              </w:rPr>
              <w:t>85,227</w:t>
            </w:r>
          </w:p>
        </w:tc>
        <w:tc>
          <w:tcPr>
            <w:tcW w:w="6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w w:val="96"/>
              </w:rPr>
              <w:t>12,185</w:t>
            </w:r>
          </w:p>
        </w:tc>
      </w:tr>
      <w:tr>
        <w:trPr>
          <w:trHeight w:val="216"/>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(3,226)</w:t>
            </w: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(2,684)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financing activities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(68,894)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1,900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bl>
    <w:p>
      <w:pPr>
        <w:spacing w:after="0" w:line="19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there were no pledges or collateralization of the assets of the VIE and the VIE’s subsidiaries. The creditors of the VIE and subsidiaries of the VIE’s third-party liabilities did not have recourse to the general credit of the primary beneficiary in the normal course of business. The VIE holds certain assets, including detection equipment and related equipment for use in their operations. The Company did not provide nor intend to provide additional financial or other support not previously contractually required to the VIE and subsidiaries of the VIE during the years presented.</w:t>
      </w:r>
    </w:p>
    <w:p>
      <w:pPr>
        <w:spacing w:after="0" w:line="328"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(“U.S. GAAP”).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include the financial statements of the Company, its subsidiaries, the VIE and the VIE’s subsidiaries for which the Company is the primary beneficiary of the VIE. All significant intercompany balances and transactions have been eliminated upon consolidation.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Comparative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items in the consolidated financial statements have been reclassified to conform with current year’s presentation</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40"/>
          </w:cols>
          <w:pgMar w:left="320" w:top="482" w:right="5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 and expenses during the reporting periods. Management evaluates estimates, including but not limited to, allowance for credit loss, impairment of long-lived assets, the fair value of share-based awards, and breakage income from central laboratory business.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The functional currency of the Company and BR Hong Kong Limited is US$. The functional currency of the Company’s PRC subsidiaries, the VIE and the VIE’s subsidiaries is RMB. The determination of the respective functional currency is based on the criteria stated in ASC 830,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The Company uses RMB as its reporting currency. The financial statements of the Company and the Company’s subsidiary outside PRC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translated from the functional currency to the reporting currency.</w:t>
      </w:r>
    </w:p>
    <w:p>
      <w:pPr>
        <w:spacing w:after="0" w:line="180"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Transactions denominated in foreign currencies are remeasured into the functional currency at the exchange rates quoted by the People’s Bank of China (the “PBOC”) prevailing on the transaction dates. Monetary assets and liabilities denominated in foreign currencies are re-measured at the exchange rates prevailing at the balance sheet date. Non-monetary items that are measured in terms of historical costs in foreign currency are re-measured using the exchange rates at the dates of the initial transactions. Exchange gains and losses are included in the consolidated statements of comprehensive loss.</w:t>
      </w:r>
    </w:p>
    <w:p>
      <w:pPr>
        <w:spacing w:after="0" w:line="164"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Assets and liabilities are translated at the exchange rates at the balance sheet date, equity accounts are translated at historical exchange rates and revenues, expenses, gains and losses are translated using the average rate for the year. Translation adjustments are reported as accumulated comprehensive loss and are shown as a separate component of other comprehensive loss in the consolidated statements of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Translations of amounts from RMB into US$ for the convenience of the reader have been calculated at the exchange rate of RMB6.9931 per US$1.00 on December 31, 2025, as published on the website of the United States Federal Reserve Board. No representation is made that the RMB amounts could have been, or could be, converted, realized or settled into US$ at such rate or at any other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primarily consist of cash and demand deposits which are highly liquid. The Group considers highly liquid investments that are readily convertible to known amounts of cash and with original maturities from the date of purchase of three months or less to be cash equivalents. All cash and cash equivalents are unrestricted as to withdrawal and use.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Restricted cash primarily represents deposits required by the Group’s commercial banks. The Group presents restricted cash within the ending cash, cash equivalents and restricted cash balance on the consolidated statements of cash flows for all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contract assets and allowance for credit losses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Group recognizes contract assets when it satisfies its performance obligations before the customer pays consideration or before payment is due. The Group transfers contract assets to “accounts receivable” when its right to payment becomes unconditional.</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Group records the allowance for credit losses as an offset to accounts receivable and contract assets, with estimated credit losses charged to “General and administrative expenses” in the consolidated statements of comprehensive loss. The Group assesses credit loss by reviewing accounts receivable and contract assets on a collective basis where similar characteristics exist, primarily based on similar business segments, service or product offerings and on an individual basis when the Group identifies specific customers with known disputes or collectability issues. The Group applies a migration roll rate method that considers historical collectability based on past due status, the age of the accounts receivable and contract asset balances, credit quality of the Group’s customers based on ongoing credit evaluations, current economic conditions, and reasonable and supportable forecasts of future economic conditions and other factors that may affect the Group’s ability to collect from customers. The Group writes off accounts receivable and contract assets are deemed uncollectible when after all collection efforts have ceased.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 in progress and finished goods which are stated at the lower of cost and net realizable value. Cost of inventories is determined using the weighted average cost method. Adjustments to reduce the cost of inventory to its net realizable value are made, if required, for decreases in sales price, obsolescence, or similar reductions in the estimated net realizable value, and are recorded in cost of sales.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With respect to services for cancer therapy selection test and pharma research and development, the Group may incur costs to fulfill a contract before the completion of services. Contract costs generally include all direct costs, such as materials, direct labor, and indirect costs identifiable with the contracts. Contract costs are accumulated within inventory and are charged to operations as the related revenue from contracts is recognized.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Group’s investments consist of equity method investment and convertible note receivables. The classification of an investment is determined based on the nature of the investment, the Group’s ability and intent to hold the investment, and the degree to which the Group may exercise influence over the investee.</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Equity method investment represent investment of 20.29% equity interest in EaSuMed Holding Ltd. for US$363. The Group exercised significant influence over the investee with its one seat on the board of directors and accounted for its investment under the equity method. The Group recognized losses from equity method investment of RMB361, RMB93 and nil for the years ended December 31, 2023, 2024 and 2025, respectively.</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the equity method investment showed indicator of impairment and an impairment loss of RMB247 (US$34) was recognized in other income, net for the year presented.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The Group applies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establishes a framework for measuring fair value and expands disclosures about fair value measurements. ASC 820 requires disclosures to be provided for fair value measurements. ASC 820 establishes a three-tier fair value hierarchy, which prioritizes the inputs used in measuring fair value as follows: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Includes other inputs that are directly or indirectly observable in the marketplace.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contract assets and accounts payable approximate their fair values because of their generally short maturities. The carrying amounts of other non-current liabilities and lease liabilities approximate their fair values since they bear interest at rates which approximate market interest rates.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did not transfer any assets or liabilities in or out of Level 3 during the years ended December 31, 2024 and 2025.</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Group measures certain non-financial assets on a nonrecurring basis such as when there is impairment of long-lived assets. The non-recurring fair value measurements are measured at the date of impairment. The Group measured the fair value of certain non-financial assets as of December 31, 2024. The non-recurring fair value measurements of long-lived assets are not measured and no impairment of long-lived assets recorded during the year ended December 31, 2025. Estimating the fair value of long-lived assets without observable market prices is highly judgmental due to the subjectivity of the unobservable inputs (level 3) used in the valuation methodologies used to determine fair value. The Group uses valuation methodologies, the cash flow estimation approach, which requires management to use unobservable inputs (level 3) such as future revenue, cost, expenses and discounted rate. These unobservable inputs and resulting fair value estimates may be affected by unexpected changes in future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as follows:</w:t>
      </w:r>
    </w:p>
    <w:p>
      <w:pPr>
        <w:sectPr>
          <w:pgSz w:w="11900" w:h="16838" w:orient="portrait"/>
          <w:cols w:equalWidth="0" w:num="1">
            <w:col w:w="10960"/>
          </w:cols>
          <w:pgMar w:left="320" w:top="482" w:right="61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Category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21" w:lineRule="exact"/>
        <w:rPr>
          <w:sz w:val="20"/>
          <w:szCs w:val="20"/>
          <w:color w:val="auto"/>
        </w:rPr>
      </w:pPr>
    </w:p>
    <w:p>
      <w:pPr>
        <w:sectPr>
          <w:pgSz w:w="11900" w:h="16838" w:orient="portrait"/>
          <w:cols w:equalWidth="0" w:num="2">
            <w:col w:w="5140" w:space="720"/>
            <w:col w:w="5100"/>
          </w:cols>
          <w:pgMar w:left="320" w:top="482" w:right="619" w:bottom="1440" w:gutter="0" w:footer="0" w:header="0"/>
          <w:type w:val="continuous"/>
        </w:sectPr>
      </w:pP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Machinery and laboratory equipment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Vehicles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Furniture and tools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Electronic equipment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years</w:t>
      </w:r>
    </w:p>
    <w:p>
      <w:pPr>
        <w:spacing w:after="0"/>
        <w:rPr>
          <w:sz w:val="20"/>
          <w:szCs w:val="20"/>
          <w:color w:val="auto"/>
        </w:rPr>
      </w:pPr>
      <w:r>
        <w:rPr>
          <w:rFonts w:ascii="Times New Roman" w:cs="Times New Roman" w:eastAsia="Times New Roman" w:hAnsi="Times New Roman"/>
          <w:sz w:val="18"/>
          <w:szCs w:val="18"/>
          <w:color w:val="auto"/>
        </w:rPr>
        <w:t>6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Lesser of lease terms or estimated useful lives of the assets</w:t>
      </w:r>
    </w:p>
    <w:p>
      <w:pPr>
        <w:spacing w:after="0" w:line="200" w:lineRule="exact"/>
        <w:rPr>
          <w:sz w:val="20"/>
          <w:szCs w:val="20"/>
          <w:color w:val="auto"/>
        </w:rPr>
      </w:pPr>
    </w:p>
    <w:p>
      <w:pPr>
        <w:sectPr>
          <w:pgSz w:w="11900" w:h="16838" w:orient="portrait"/>
          <w:cols w:equalWidth="0" w:num="2">
            <w:col w:w="5140" w:space="720"/>
            <w:col w:w="5100"/>
          </w:cols>
          <w:pgMar w:left="320" w:top="482" w:right="619" w:bottom="1440" w:gutter="0" w:footer="0" w:header="0"/>
          <w:type w:val="continuous"/>
        </w:sectPr>
      </w:pPr>
    </w:p>
    <w:p>
      <w:pPr>
        <w:spacing w:after="0" w:line="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whereas the cost of renewals and betterments that extend the useful lives of property and equipment are capitalized as additions to the related assets. Retirements, sales and disposals of assets are recorded by removing the cost and accumulated depreciation accounts with any resulting gain or loss reflected in the consolidated statements of comprehensive loss.</w:t>
      </w:r>
    </w:p>
    <w:p>
      <w:pPr>
        <w:spacing w:after="0" w:line="176"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0960"/>
          </w:cols>
          <w:pgMar w:left="320" w:top="482" w:right="61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Intangible assets are carried at cost less accumulated amortization and any recorded impairment. Intangible assets with finite useful lives are amortized using a straight-line method of amortization that reflects the estimated pattern in which the economic benefits of the intangible asset are to be consumed. The estimated useful life for the intangible assets is as follows:</w:t>
      </w:r>
    </w:p>
    <w:p>
      <w:pPr>
        <w:sectPr>
          <w:pgSz w:w="11900" w:h="16838" w:orient="portrait"/>
          <w:cols w:equalWidth="0" w:num="1">
            <w:col w:w="11120"/>
          </w:cols>
          <w:pgMar w:left="320" w:top="482" w:right="459" w:bottom="1440" w:gutter="0" w:footer="0" w:header="0"/>
        </w:sectPr>
      </w:pP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Category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29" w:lineRule="exact"/>
        <w:rPr>
          <w:sz w:val="20"/>
          <w:szCs w:val="20"/>
          <w:color w:val="auto"/>
        </w:rPr>
      </w:pPr>
    </w:p>
    <w:p>
      <w:pPr>
        <w:sectPr>
          <w:pgSz w:w="11900" w:h="16838" w:orient="portrait"/>
          <w:cols w:equalWidth="0" w:num="2">
            <w:col w:w="5140" w:space="720"/>
            <w:col w:w="526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Computer software</w:t>
      </w:r>
    </w:p>
    <w:p>
      <w:pPr>
        <w:spacing w:after="0" w:line="20" w:lineRule="exact"/>
        <w:rPr>
          <w:sz w:val="20"/>
          <w:szCs w:val="20"/>
          <w:color w:val="auto"/>
        </w:rPr>
      </w:pPr>
      <w:r>
        <w:rPr>
          <w:sz w:val="20"/>
          <w:szCs w:val="20"/>
          <w:color w:val="auto"/>
        </w:rPr>
        <w:br w:type="column"/>
      </w:r>
    </w:p>
    <w:p>
      <w:pPr>
        <w:jc w:val="center"/>
        <w:ind w:right="4760"/>
        <w:spacing w:after="0"/>
        <w:rPr>
          <w:sz w:val="20"/>
          <w:szCs w:val="20"/>
          <w:color w:val="auto"/>
        </w:rPr>
      </w:pPr>
      <w:r>
        <w:rPr>
          <w:rFonts w:ascii="Times New Roman" w:cs="Times New Roman" w:eastAsia="Times New Roman" w:hAnsi="Times New Roman"/>
          <w:sz w:val="17"/>
          <w:szCs w:val="17"/>
          <w:color w:val="auto"/>
        </w:rPr>
        <w:t>3 years</w:t>
      </w:r>
    </w:p>
    <w:p>
      <w:pPr>
        <w:spacing w:after="0" w:line="200" w:lineRule="exact"/>
        <w:rPr>
          <w:sz w:val="20"/>
          <w:szCs w:val="20"/>
          <w:color w:val="auto"/>
        </w:rPr>
      </w:pPr>
    </w:p>
    <w:p>
      <w:pPr>
        <w:sectPr>
          <w:pgSz w:w="11900" w:h="16838" w:orient="portrait"/>
          <w:cols w:equalWidth="0" w:num="2">
            <w:col w:w="5140" w:space="720"/>
            <w:col w:w="5260"/>
          </w:cols>
          <w:pgMar w:left="320" w:top="482" w:right="459"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Group does not have any indefinite-lived intangible assets.</w:t>
      </w:r>
    </w:p>
    <w:p>
      <w:pPr>
        <w:sectPr>
          <w:pgSz w:w="11900" w:h="16838" w:orient="portrait"/>
          <w:cols w:equalWidth="0" w:num="1">
            <w:col w:w="11120"/>
          </w:cols>
          <w:pgMar w:left="320" w:top="482" w:right="459" w:bottom="1440" w:gutter="0" w:footer="0" w:header="0"/>
          <w:type w:val="continuous"/>
        </w:sect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Group evaluates the recoverability of its long-lived assets, including property and equipment, operating right-of-use assets and intangible assets with finite lives, for impairment whenever events or changes in circumstances indicate that the carrying amount of an asset may not be fully recoverable. When these events occur, the Group measures impairment by comparing the carrying amount of the assets to the estimated undiscounted future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is the new cost basis and is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8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 recorded impairment loss on long-lived assets of nil, RMB35,127 and nil in the consolidated statements of comprehensive loss for the year ended December 31, 2023,2024 and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Interest-bearing borrowings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Interest-bearing borrowings are measured initially at fair value less transaction costs. Subsequent to initial recognition, interest-bearing borrowings are stated at amortized cost using the effective interest method. The annual interest rate on long-term borrowings outstanding as of December 31, 2025 was 3.10%, the borrowing principal will be due in the next three years with amounts of RMB200, RMB200 and RMB1,500 respectively. The interest-bearing borrowings as of December 31, 2025 were secured by the Chief Executive Officer and one subsidiary of the Group.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19" w:lineRule="exact"/>
        <w:rPr>
          <w:sz w:val="20"/>
          <w:szCs w:val="20"/>
          <w:color w:val="auto"/>
        </w:rPr>
      </w:pPr>
    </w:p>
    <w:p>
      <w:pPr>
        <w:jc w:val="both"/>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Group’s chief operating decision maker (“CODM”) has been identified as the Chief Executive Officer. The Group’s CODM evaluates segment performance based on revenues, cost of revenue and gross profit by the operating segments of central laboratory business, in-hospital business and pharma research and development services and decides how to allocate resources.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operating results of segment provided to and reviewed by CODM, please refer to Note 3.</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derives revenues from its central laboratory business, in-hospital business and pharma research and development services. The Group recognizes revenue to depict the transfer of promised products or services to customers in an amount that reflects the consideration to which the entity expects to be entitled in exchange for those products or services. For businesses that enter primarily short-term contracts, the Group applies the practical expedient which allows costs to obtain a contract to be expensed when incurred if the amortization period of the assets that would otherwise have been recognized is one year or less.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from central laboratory business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Revenue from central laboratory business is primarily generated through the sales of the Group’s cancer therapy selection test, to individual patient customers. The individual patient prepays the consideration in full and the transaction price for each contract is fixed at contract inception. The patient can choose to purchase a single cancer therapy selection test, as a package which consisting of multiple cancer therapy selection tests of the same type or a combination of different types of cancer therapy selection tests. Each cancer therapy selection test represents a single performance obligation. Revenue is allocated to each performance obligation based on the relative standalone selling price method. The Group records revenue at a point in time, when each cancer therapy selection testing report is delivered to the patient.</w:t>
      </w:r>
    </w:p>
    <w:p>
      <w:pPr>
        <w:spacing w:after="0" w:line="18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The Group launched cancer therapy selection testing packages (“Monitoring Packages”) in 2017. Each monitoring package contains a fixed number of the same type cancer therapy selection test which can be used up to two years from purchase date. The portion of the cancer therapy selection tests within the Monitoring Packages are not expected to be used by the patient prior to expiration based on historical usage rates are referred to as a “breakage”. The Group recognizes the expected breakage amount as revenue in proportion to the total number of tests expected to be performed for patients prior to the expiration date. If the Group is not expected to be entitled to a breakage amount due to the lack of historical experience, the expected breakage amount is recognized as revenue at the end of the two-year period when the monitoring package expires. The Group evaluates its breakage estimates periodically based upon its historical experience with each type of Monitoring Packages recent usage pattern prior to the expiration period. The historical usage rates may not be reflective of the actual usage rates due to changes in patient behavior and medical advancements. The determination of whether the Group has accumulated sufficient historical experience to determine breakage amount and changes in the actual patients’ usage rates may significantly impact on the amount of breakage revenue recognized for the period. The Group recognized breakage income of RMB10,924, RMB7,712 and RMB7,899 (US$1,130) for the years ended December 31, 2023, 2024 and 2025, respectively.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b w:val="1"/>
          <w:bCs w:val="1"/>
          <w:color w:val="auto"/>
        </w:rPr>
        <w:t>(continued)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from in-hospital business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Revenue from in-hospital business is primarily generated through reagent kit sales and providing facilitation services for laboratory equipment sold to hospitals. The Group manufactures the reagent kits and sells to the hospitals when the hospitals submit a purchase order. Each reagent kit represents a single performance obligation. The Group does not provide rights of return for the reagent kits sold other than returns of defective products. Returns for defective products were not material for the periods presented. The contracts with hospital customers from reagent kit sales of in-hospital business often contain bundles of reagent kits to customers. Each kit represents a single performance obligation. The Group allocates the transaction price to each kit on a relative standalone selling price basis using the expected cost plus a margin method.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recognizes revenue on the sales of reagent kits at a point in time when the reagent kits are delivered to the hospital customers.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the facilitation services, the Group purchases the laboratory equipment from third-party suppliers when the hospital submits purchase request and resells the laboratory equipment to the hospital. The Group acts as an agent in facilitating laboratory equipment sales as it does not control the laboratory equipment prior to its delivery to the hospitals and does not have inventory risks. The facilitation services for each piece of laboratory equipment represents a single performance obligation. The Group records revenue on a net basis at the point in time when the Group has completed its facilitation services.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b w:val="1"/>
          <w:bCs w:val="1"/>
          <w:color w:val="auto"/>
        </w:rPr>
        <w:t>(continued)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from pharma research and development services</w:t>
      </w:r>
    </w:p>
    <w:p>
      <w:pPr>
        <w:spacing w:after="0" w:line="11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Group provides pharma research and development services, primarily cancer therapy selection tests services, companion diagnostics development services, and other service agreements with the combination of various customized tests services and analytical validation services, to pharmaceutical companies for developing new drugs for targeted therapies, immunotherapies on various types of cancers and to hospitals for their studies on cancer diagnosis and treatment.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Group’s contracts with biopharmaceutical customers and hospitals may include multiple distinct performance obligations, of which the transaction price is allocated to the separate performance obligations on a relative standalone selling price basis. Performance obligation is satisfied over time if such performance does not create an asset with an alternative use to the Group, and the Group has an enforceable right to payment for performance. The Group recognizes revenue using an input method to measure progress for these arrangements, utilizing costs incurred to-date relative to total expected costs as its measure of progress, which faithfully depicts the Company’s performance in transferring control of the service. If a performance obligation is not satisfied over time, the Group records revenue at a point in time when the customer gains control of the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b w:val="1"/>
          <w:bCs w:val="1"/>
          <w:color w:val="auto"/>
        </w:rPr>
        <w:t>(continued)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Contract assets mainly represent unbilled amounts related to the Group’s rights to consideration for reagent kits as the Group has an unconditional right to bill customers only upon delivery of all reagent kits delivered. Contract assets decreased RMB1,554 (US$223) compared to December 31, 2024 was mainly due to a RMB2,241 (US$320) increase for the reclassification to accounts receivable upon delivery of all reagent kits, and a RMB3,795 (US$543) increase in provision due to higher provision ratio of long-aged contract asset balances. The provision for credit losses balance was RMB 61,856 and RMB65,651(US$9,388) for the years ended December 31, 2024 and 2025, respectively.</w:t>
      </w:r>
    </w:p>
    <w:p>
      <w:pPr>
        <w:spacing w:after="0" w:line="183"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Group records a contract liability, which is presented as “deferred revenue” on the consolidated balance sheets when a customer pays consideration before the Group provides products or services. The decrease in deferred revenue of RMB10,076 (US$1,441) compared to December 31, 2024 is due to the decrease in payments from the Group’s customers as a result of the business reduction. The Group receives payments from customers based on the billing schedule established in their contracts. Revenue recognized that was included in deferred revenue balance at the beginning of the period was RMB56,514, RMB61,907 and RMB61,049(US$8,730) for the years ended December 31, 2023, 2024 and 2025, respectively.</w:t>
      </w:r>
    </w:p>
    <w:p>
      <w:pPr>
        <w:spacing w:after="0" w:line="16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transaction prices allocated to the remaining performance obligations (unsatisfied or partially satisfied) as of December 31, 2024 and 2025 were RMB574,042 and RMB575,653 (US$82,318), respectively. RMB415,804 (US$59,459) of transaction prices allocated to the remaining performance obligations are expected to be recognized as revenue after one year. All the other amounts of transaction prices allocated to the remaining performance obligations are expected to be recognized as revenue within one year. The amounts disclosed above do not include variable consideration which is constrained.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Value added taxes and related surcharges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Group is subject to value added tax (the “VAT”) that is imposed on and concurrent with the revenues earned for services provided in the PRC. The Group’s applicable value added tax rate is 6% or 13%.</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excludes VAT from the measurement of transaction price because the Group is collecting the VAT on behalf of tax authorities. The Group is also subject to surcharges on VAT payments in accordance with PRC law, which is recorded as cost of revenue. Surcharges are recorded when incurred because they are not imposed on and concurrent with a specific revenue arrangement and were immaterial for the years ended December 31, 2023, 2024 and 2025, respectively.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320" w:top="482"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external and internal expenses. External expenses include clinical and non-clinical activities performed by contract research organizations. Internal expenses primarily consist of salaries and benefits for research and development personnel and the cost of materials for research and development projects and products. The Group expenses internal research and development costs as they are incurred. The Group estimates liabilities for external research and development expenses in order to match the recognition of expenses to the period in which the actual services are received. As such, accrued liabilities related to third party research and development activities are recognized based upon their estimate of services received and degree of completion of the services in accordance with the specific third-party contract.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subsidies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Government subsidies primarily consist of financial subsidies received from provincial and local governments for operating a business in their jurisdictions and compliance with specific policies promoted by the local governments. The government subsidies with certain operating conditions are recorded as liabilities when received and will be recorded as a reduction of the related expense when the conditions are met. The government subsidies with no further conditions to be met are recorded as other income when received. Where the grant relates to an asset, it is recognized as deferred government grant and released to the consolidated statements of comprehensive loss in equal amounts over the expected useful life of the related asset as a reduction of the related expense.</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Government assistances received by the Group were in the form of cash and primarily to support the Group’s operating activities. Government subsidies received were recorded as a reduction of expenses and cost by the straight-line method. As of December 31, 2024 and 2025, accrued liabilities and other current liabilities related to the government assistance received prior to conditions being met was RMB229 and nil, respectively. For the years ended December 31, 2023, 2024 and 2025, RMB663, RMB2,821 and RMB1,771 (US$253) was recorded as a reduction of research and development expenses, respectively.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82"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Group leases office space, employee dormitories and equipment. The Group’s offices and facility leases generally have lease terms between 1 to 5 years. The Group’s lease agreements are with fixed lease payments and do not contain variable lease payments or material residual value guarantees. The Group’s leases do not contain restrictions or covenants that restrict the Group from incurring other financial obligation.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Group (as the lessee) classifies its leases as operating or financing lease at inception in accordance with the recognition criteria in ASC 842-20-25-2. The Group classifies a lease as a finance lease if the lease meets any one of the following criteria: a) the leases transfers ownership of the underlying asset to the lessee by the end of the lease term, b) the leases grants the lessee an option to purchase the underlying asset that the lessee is reasonably certain to exercise, c) the lease term is for a major part of the remaining economic life of the underlying asset, d) the present value of the sum of the lease payments and any residual value guaranteed by the lessee that is not already included in the lease payments equals or exceeds substantially all of the fair value of the underlying asset or e) the underlying asset is of such a specialized nature that it is expected to have no alternative use to the lessor at the end of the lease term. The Group classifies a lease as an operating lease when it does not meet any one of these criteria. The Group’s lease portfolio consists entirely of operating leases as of December 31, 2024 and 2025.</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At the commencement date of an operating lease, the Group recognizes a right-of-use (“ROU”) asset and a lease liability based on the present value of the lease payments over the lease term on the consolidated balance sheets. Lease expense is recorded on a straight-line basis over the lease term. As the Group’s leases do not provide an implicit rate, the Group estimates its incremental borrowing rate based on the information available at the commencement date in determining the present value of lease payments. In estimating its incremental borrowing rate, the Group considers its credit rating, nature of underlying asset, and publicly available data of borrowing rates for loans of similar amount, currency and term as the lease. Leases often include options to extend and lease terms include such extended terms when the Group is reasonably certain to exercise those options. Lease terms also include periods covered by options to terminate the leases when the Group is reasonably certain not to exercise those options. The Group also elected to exempt short-term leases of 12 months or less from balance sheet recognition requirements associated with ASC 842. The Group recognizes fixed rental payments for these short-term leases as a straight-line expense over the lease term.</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changes in equity of the Group during a period from transactions and other events and circumstances excluding transactions resulting from investments by shareholders and distributions to shareholders. Accumulated other comprehensive loss of the Group includes foreign currency translation adjustments related to the Group and its overseas subsidiaries, whose functional currency is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82"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 xml:space="preserve">The Group follows the liability method of accounting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spacing w:after="0" w:line="18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Group evaluates its uncertain tax positions using the provisions of ASC 740, which prescribes a recognition threshold that a tax position is required to meet before being recognized in the consolidated financial statements. The Group recognizes in the consolidated financial statements the benefit of a tax position which is “more likely than not” to be sustained under examination based solely on the technical merits of the position assuming a review by tax authorities having all relevant information. Tax positions that meet the recognition threshold are measured using a cumulative probability approach, at the largest amount of tax benefit that has a greater than fifty percent likelihood of being realized upon settlement. It is the Group’s policy to recognize interest and penalties related to unrecognized tax benefits, if any, as a component of income tax expenses.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82"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 xml:space="preserve">The Group applies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(“ASC 718”), to account for its employee share-based payments awards granted to certain directors, executives and employees. Share options granted are classified as equity awards and are measured based on the grant date fair value of the equity instrument issued. For employee awards with only service condition, the Group records compensation costs using the straight-line method over the requisite service period, which is generally the vesting period of the options, with a corresponding impact reflected in additional paid-in capital. For employee awards with service condition and performance condition that has a graded vesting schedule, the Group records compensation costs on a tranche-by-tranche basis, with a corresponding impact reflected in additional paid-in capital. For employee awards with service condition and market condition, the Group records compensation costs on a tranche-by-tranche basis, over the earlier of the derived service period or the requisite service period, with a corresponding impact reflected in additional paid-in capital. The Group estimates an award’s derived service period based on the best estimate of the period over which an award’s vesting conditions will be achieved. If the market-based vesting conditions are not met and the market-based award is cancelled, the expense will not be reversed unless the market-based award is forfeited. The Group accounts for forfeitures as they occur.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Modification, replacements or cancellation of awards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change in the terms or conditions of the awards, or cancellation of a share-based award accompanied by the concurrent grant of a replacement award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and other pertinent factors at the modification date. The Group recognizes over the remaining requisite service period, the sum of the incremental compensation cost and the remaining unrecognized compensation cost for the original award on the modification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1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 xml:space="preserve">In accordance with ASC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loss per share is computed by dividing net loss attributable to ordinary shareholders by the weighted average number of ordinary shares outstanding during the year.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include ordinary shares issuable upon the exercise of share options, using the treasury stock method. Ordinary share equivalents are excluded from the computation of diluted earnings per share if their effects are anti-dilutive.</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stock using the cost method. Under this method, the cost incurred to purchase the shares is recorded in “Treasury stock” on the consolidated balance sheets. At retirement of the treasury stock, the ordinary shares account is charged only for the aggregate par value of the shares. The excess of the acquisition cost of treasury stock over the aggregate par value is charged to retained earnings.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defined contribution plan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stipulated by the regulations of the PRC, full-time employees of the Group are entitled to staff welfare benefits including medical care, welfare subsidies, unemployment insurance and pension benefits through a PRC government-mandated multi-employer defined contribution plan. The Group is required to accrue for these benefits based on certain percentages of the qualified employees’ salaries. The Group is required to make contributions to the plans out of the amounts accrued. The PRC government is responsible for the medical benefits and the pension liability to be paid to these employees and the Group’s obligations are limited to the amounts contributed. The Group has no further payment obligations once the contributions have been paid. The Group recorded employee benefit expenses of RMB70,230, RMB53,878 and RMB47,018 (US$6,583) for the years ended December 31, 2023, 2024 and 2025,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incurred a net loss of RMB346.6 million and RMB55.3 million for the years ended December 31, 2024 and 2025, respectively, and net cash used in operating activities was RMB92.3 million and RMB28.4 million for the years ended December 31, 2024 and 2025, respectively. The Group assesses its liquidity by its ability to generate cash from operating activities and implements cost saving measures to control the daily operating costs and expenses.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Group’s ability to continue as a going concern is dependent on management’s ability to successfully execute its business plan, which includes increasing revenues while controlling operating costs and expenses, as well as generating operational cash flows. The Group believes that the cash and cash equivalents will be sufficient to meet the cash requirements to fund planned operations and other commitments for at least twelve months from the date of issuance of the consolidated financial statements. Therefore, the Group’s consolidated financial statements have been prepared on a going concern basis, which contemplates the realization of assets and liquidation of liabilities in the normal course of business.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had RMB481,088 (US$68,795) cash and cash equivalents and restricted cash, 100% of which were held by financial institutions in the PRC. The Group regularly monitors the rating of the financial institutions to avoid any potential defaults. There has been no recent history of default in relation to these financial institutions.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denominated in RMB and are derived from revenues earned from reputable customers. As of December 31, 2024 and 2025, the Group had no single customer with a receivable balance exceeding 10% of the total accounts receivable balance. The Group manages credit risk of accounts receivable through ongoing monitoring of the outstanding balances.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40"/>
          </w:cols>
          <w:pgMar w:left="320" w:top="482" w:right="5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risks </w:t>
      </w:r>
      <w:r>
        <w:rPr>
          <w:rFonts w:ascii="Times New Roman" w:cs="Times New Roman" w:eastAsia="Times New Roman" w:hAnsi="Times New Roman"/>
          <w:sz w:val="18"/>
          <w:szCs w:val="18"/>
          <w:b w:val="1"/>
          <w:bCs w:val="1"/>
          <w:color w:val="auto"/>
        </w:rPr>
        <w:t>(continued)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suppliers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 significant portion of the Group’s equipment and raw materials were purchased from its two suppliers, who collectively accounted for 65%, 62% and 46% of the Group’s total equipment and raw materials purchases for the years ended December 31, 2023, 2024 and 2025, respectively. A significant interruption by these suppliers in the delivery of equipment and raw materials could impair the Group’s ability to deliver the products and service and could materially adversely impact its consolidated statements of loss and other comprehensive loss and consolidated statements of financial position. The Group has minimized such risk by introducing alternative suppliers to ensure a constant supply.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and economic risk</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believes that changes in any of the following areas could have a material adverse effect on the Group’s future consolidated financial position, results of operations or cash flows: changes in the overall demand for services; competitive pressures due to new entrants; advances and new trends in new technologies and industry standards; changes in certain strategic relationships; regulatory considerations and risks associated with the Group’s ability to attract employees necessary to support its growth. The Group’s operations could also be adversely affected by significant political, regulatory, economic and social uncertainties in the PRC.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Currency convertibility risk</w:t>
      </w:r>
    </w:p>
    <w:p>
      <w:pPr>
        <w:spacing w:after="0" w:line="11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Substantially all of the Group’s businesses are transacted in RMB, which is not freely convertible into foreign currencies. All foreign exchange transactions continue to take place either through the People’s Bank of China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left="120" w:right="400"/>
        <w:spacing w:after="0" w:line="276" w:lineRule="auto"/>
        <w:rPr>
          <w:sz w:val="20"/>
          <w:szCs w:val="20"/>
          <w:color w:val="auto"/>
        </w:rPr>
      </w:pPr>
      <w:r>
        <w:rPr>
          <w:rFonts w:ascii="Times New Roman" w:cs="Times New Roman" w:eastAsia="Times New Roman" w:hAnsi="Times New Roman"/>
          <w:sz w:val="17"/>
          <w:szCs w:val="17"/>
          <w:color w:val="auto"/>
        </w:rPr>
        <w:t>From July 21, 2005, the RMB is permitted to fluctuate within a narrow and managed band against a basket of certain foreign currencies. For US$ against RMB, there was appreciation of approximately 2.9%, 2.8% and depreciation of approximately 4.2% in the years ended December 31, 2023,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and 2025 respectively. For Japanese Yen (JPY) against RMB, there was depreciation of approximately 3.1% in the year ended December 31, 2025.</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functional currency and the reporting currency of the Company are the US$ and the RMB, respectively. Most of the revenues and costs of the Group are denominated in RMB, while a portion of cash and cash equivalents are denominated in US$ and JPY. It is difficult to predict how market forces or PRC or U.S. or Japanese government policy may impact the exchange rate between the Renminbi, the US$, and JPY in the future. Any significant fluctuation of the valuation of RMB may materially affect the Group’s cash flows, revenues, earnings and financial position, and the value of any dividends payable on the ADS in 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82"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accounting standards which have been adopted</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provide more transparency about income tax information through improvements to income tax disclosures primarily related to the rate reconciliation and income taxes paid information. The Group has adopted ASU 2023-09 since January 1, 2025 on a prospective basis. The adoption of this guidance did not have a material impact on its financial position, results of operations and cash flows.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accounting standards which have not yet been adopted</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improves financial reporting by requiring that public business entities disclose additional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in the notes to financial statements at interim and annual reporting periods.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Group is currently evaluating the provisions of this ASU.</w:t>
      </w:r>
    </w:p>
    <w:p>
      <w:pPr>
        <w:spacing w:after="0" w:line="18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 (1) all entities with a practical expedient and (2) entities other than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annual reporting periods beginning after 15 December 2025, and interim reporting periods within those annual reporting periods. Early adoption is permitted. This ASU should be applied prospectively. The Group does not expect the adoption of the accounting standard updates would have a material impact on the Company’s financial position and performance.</w:t>
      </w:r>
    </w:p>
    <w:p>
      <w:pPr>
        <w:spacing w:after="0" w:line="185" w:lineRule="exact"/>
        <w:rPr>
          <w:sz w:val="20"/>
          <w:szCs w:val="20"/>
          <w:color w:val="auto"/>
        </w:rPr>
      </w:pPr>
    </w:p>
    <w:p>
      <w:pPr>
        <w:jc w:val="both"/>
        <w:ind w:left="120" w:right="80"/>
        <w:spacing w:after="0" w:line="273"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2025-10, </w:t>
      </w:r>
      <w:r>
        <w:rPr>
          <w:rFonts w:ascii="Times New Roman" w:cs="Times New Roman" w:eastAsia="Times New Roman" w:hAnsi="Times New Roman"/>
          <w:sz w:val="17"/>
          <w:szCs w:val="17"/>
          <w:i w:val="1"/>
          <w:iCs w:val="1"/>
          <w:color w:val="auto"/>
        </w:rPr>
        <w:t>Government Grants (Topic 832): Accounting for Government Grants Received by Business Entities</w:t>
      </w:r>
      <w:r>
        <w:rPr>
          <w:rFonts w:ascii="Times New Roman" w:cs="Times New Roman" w:eastAsia="Times New Roman" w:hAnsi="Times New Roman"/>
          <w:sz w:val="17"/>
          <w:szCs w:val="17"/>
          <w:color w:val="auto"/>
        </w:rPr>
        <w:t xml:space="preserve"> (“ASU 2025-10”), to improve generally accepted accounting principles by establishing authoritative guidance on the accounting for government grants received by business entities. The amendments establish the accounting for a government grant received by a business entity, including guidance for</w:t>
      </w:r>
    </w:p>
    <w:p>
      <w:pPr>
        <w:spacing w:after="0" w:line="1" w:lineRule="exact"/>
        <w:rPr>
          <w:sz w:val="20"/>
          <w:szCs w:val="20"/>
          <w:color w:val="auto"/>
        </w:rPr>
      </w:pPr>
    </w:p>
    <w:p>
      <w:pPr>
        <w:ind w:left="120" w:right="80" w:hanging="4"/>
        <w:spacing w:after="0" w:line="253" w:lineRule="auto"/>
        <w:tabs>
          <w:tab w:leader="none" w:pos="37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Group is currently in the process of evaluating the disclosure impact of adopting ASU 2025-10.</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82"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For the years ended December 31, 2023, 2024 and 2025, the Group had three operating segments, including central laboratory business, in-hospital business and pharma research and development services. The operating segments also represented the reporting segments. The CODM considers year-over-year fluctuations and budget-to-actual variances of the operating segments based on the measures of revenues, cost of revenue and gross profit by central laboratory business, in-hospital business and pharma research and development services when assessing performance and deciding how to allocate resources. Other than the information provided below, the CODM does not use any other operating costs or assets information to measure the performance of operating segments or allocate resources. All revenues disclosed are only generated from external customers. The accounting policies of the segments are the same as those used by the Group. The Group prepared the financial results of the operating segments on a basis that is consistent with the manner in which management internally disaggregates financial information to assist in making internal operating decisions. The reconciliation of gross profit of reportable segments to consolidated loss before income tax was consistent with the consolidated statements of comprehensive loss.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Summarized information by segments for the years ended December 31, 2023, 2024 and 2025 is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60" w:type="dxa"/>
            <w:vAlign w:val="bottom"/>
            <w:gridSpan w:val="2"/>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rPr>
              <w:t>Central</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3"/>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Pharma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In-hospital</w:t>
            </w:r>
          </w:p>
        </w:tc>
        <w:tc>
          <w:tcPr>
            <w:tcW w:w="11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research and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laboratory</w:t>
            </w:r>
          </w:p>
        </w:tc>
        <w:tc>
          <w:tcPr>
            <w:tcW w:w="940" w:type="dxa"/>
            <w:vAlign w:val="bottom"/>
            <w:gridSpan w:val="2"/>
            <w:vMerge w:val="continue"/>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color w:val="auto"/>
              </w:rPr>
              <w:t>business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business</w:t>
            </w: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services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 from services</w:t>
            </w:r>
          </w:p>
        </w:tc>
        <w:tc>
          <w:tcPr>
            <w:tcW w:w="350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232,812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(3,704)</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115,922</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2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192,405</w:t>
            </w:r>
          </w:p>
        </w:tc>
        <w:tc>
          <w:tcPr>
            <w:tcW w:w="11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192,405</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5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232,812</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188,701</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115,922</w:t>
            </w:r>
          </w:p>
        </w:tc>
        <w:tc>
          <w:tcPr>
            <w:tcW w:w="3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5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(49,473)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(72,570)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(52,165)</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(174,208)</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183,339</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116,131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63,757</w:t>
            </w:r>
          </w:p>
        </w:tc>
        <w:tc>
          <w:tcPr>
            <w:tcW w:w="3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00" w:type="dxa"/>
            <w:vAlign w:val="bottom"/>
            <w:gridSpan w:val="3"/>
          </w:tcPr>
          <w:p>
            <w:pPr>
              <w:jc w:val="right"/>
              <w:ind w:right="1988"/>
              <w:spacing w:after="0"/>
              <w:rPr>
                <w:sz w:val="20"/>
                <w:szCs w:val="20"/>
                <w:color w:val="auto"/>
              </w:rPr>
            </w:pPr>
            <w:r>
              <w:rPr>
                <w:rFonts w:ascii="Times New Roman" w:cs="Times New Roman" w:eastAsia="Times New Roman" w:hAnsi="Times New Roman"/>
                <w:sz w:val="18"/>
                <w:szCs w:val="18"/>
                <w:color w:val="auto"/>
              </w:rPr>
              <w:t>F-38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60" w:type="dxa"/>
            <w:vAlign w:val="bottom"/>
            <w:gridSpan w:val="2"/>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rPr>
              <w:t>Central</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3"/>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Pharma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In-hospital</w:t>
            </w:r>
          </w:p>
        </w:tc>
        <w:tc>
          <w:tcPr>
            <w:tcW w:w="11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research and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laboratory</w:t>
            </w:r>
          </w:p>
        </w:tc>
        <w:tc>
          <w:tcPr>
            <w:tcW w:w="940" w:type="dxa"/>
            <w:vAlign w:val="bottom"/>
            <w:gridSpan w:val="2"/>
            <w:vMerge w:val="continue"/>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color w:val="auto"/>
              </w:rPr>
              <w:t>business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business</w:t>
            </w: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services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 from services</w:t>
            </w:r>
          </w:p>
        </w:tc>
        <w:tc>
          <w:tcPr>
            <w:tcW w:w="350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175,649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115,681</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2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225,084</w:t>
            </w:r>
          </w:p>
        </w:tc>
        <w:tc>
          <w:tcPr>
            <w:tcW w:w="11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225,084</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5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175,649</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224,492</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115,681</w:t>
            </w:r>
          </w:p>
        </w:tc>
        <w:tc>
          <w:tcPr>
            <w:tcW w:w="3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5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(33,808)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(65,099)</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(54,515)</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(153,422)</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141,841</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159,393</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61,166</w:t>
            </w:r>
          </w:p>
        </w:tc>
        <w:tc>
          <w:tcPr>
            <w:tcW w:w="3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00" w:type="dxa"/>
            <w:vAlign w:val="bottom"/>
            <w:gridSpan w:val="3"/>
          </w:tcPr>
          <w:p>
            <w:pPr>
              <w:jc w:val="right"/>
              <w:ind w:right="1988"/>
              <w:spacing w:after="0"/>
              <w:rPr>
                <w:sz w:val="20"/>
                <w:szCs w:val="20"/>
                <w:color w:val="auto"/>
              </w:rPr>
            </w:pPr>
            <w:r>
              <w:rPr>
                <w:rFonts w:ascii="Times New Roman" w:cs="Times New Roman" w:eastAsia="Times New Roman" w:hAnsi="Times New Roman"/>
                <w:sz w:val="18"/>
                <w:szCs w:val="18"/>
                <w:color w:val="auto"/>
              </w:rPr>
              <w:t>F-39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6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Central</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4"/>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Pharma</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6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color w:val="auto"/>
              </w:rPr>
              <w:t>In-hospital</w:t>
            </w:r>
          </w:p>
        </w:tc>
        <w:tc>
          <w:tcPr>
            <w:tcW w:w="16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research and</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laboratory</w:t>
            </w:r>
          </w:p>
        </w:tc>
        <w:tc>
          <w:tcPr>
            <w:tcW w:w="1600" w:type="dxa"/>
            <w:vAlign w:val="bottom"/>
            <w:gridSpan w:val="4"/>
            <w:vMerge w:val="continue"/>
          </w:tcPr>
          <w:p>
            <w:pPr>
              <w:spacing w:after="0"/>
              <w:rPr>
                <w:sz w:val="12"/>
                <w:szCs w:val="12"/>
                <w:color w:val="auto"/>
              </w:rPr>
            </w:pPr>
          </w:p>
        </w:tc>
        <w:tc>
          <w:tcPr>
            <w:tcW w:w="16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business</w:t>
            </w:r>
          </w:p>
        </w:tc>
        <w:tc>
          <w:tcPr>
            <w:tcW w:w="16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color w:val="auto"/>
              </w:rPr>
              <w:t>business</w:t>
            </w: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services</w:t>
            </w:r>
          </w:p>
        </w:tc>
        <w:tc>
          <w:tcPr>
            <w:tcW w:w="9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 from services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159,993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22,878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155,540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22,242</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316,111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sales of products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223,457</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31,954</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223,457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31,954</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159,993</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22,878</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224,035</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32,037</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155,540</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22,242</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539,568</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(22,417)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(3,205)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(8,200)</w:t>
            </w:r>
          </w:p>
        </w:tc>
        <w:tc>
          <w:tcPr>
            <w:tcW w:w="324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(56,900)   (8,137)  (136,654)  (19,542)</w:t>
            </w: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137,576</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19,673</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166,698</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23,837</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98,640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14,105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402,914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F-40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analysis of the total long-lived assets excluding intangible assets by country was as follows:</w:t>
      </w:r>
    </w:p>
    <w:p>
      <w:pPr>
        <w:spacing w:after="0" w:line="24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7620</wp:posOffset>
            </wp:positionV>
            <wp:extent cx="13976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8180"/>
        <w:spacing w:after="0"/>
        <w:tabs>
          <w:tab w:leader="none" w:pos="9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-3175</wp:posOffset>
            </wp:positionV>
            <wp:extent cx="1397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8140"/>
        <w:spacing w:after="0" w:line="232" w:lineRule="auto"/>
        <w:tabs>
          <w:tab w:leader="none" w:pos="8960" w:val="left"/>
          <w:tab w:leader="none" w:pos="978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US$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6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102,154</w:t>
            </w:r>
          </w:p>
        </w:tc>
        <w:tc>
          <w:tcPr>
            <w:tcW w:w="28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63,187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8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18,318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108,266</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81,505</w:t>
            </w: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revenues by location of contracting customer are presented as follows:</w:t>
            </w: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720" w:type="dxa"/>
            <w:vAlign w:val="bottom"/>
            <w:tcBorders>
              <w:bottom w:val="single" w:sz="8" w:color="auto"/>
            </w:tcBorders>
            <w:gridSpan w:val="11"/>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50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0"/>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61,244</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100,088</w:t>
            </w:r>
          </w:p>
        </w:tc>
        <w:tc>
          <w:tcPr>
            <w:tcW w:w="116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100,928</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14,432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415,734</w:t>
            </w:r>
          </w:p>
        </w:tc>
        <w:tc>
          <w:tcPr>
            <w:tcW w:w="260" w:type="dxa"/>
            <w:vAlign w:val="bottom"/>
          </w:tcPr>
          <w:p>
            <w:pPr>
              <w:spacing w:after="0"/>
              <w:rPr>
                <w:sz w:val="18"/>
                <w:szCs w:val="18"/>
                <w:color w:val="auto"/>
              </w:rPr>
            </w:pPr>
          </w:p>
        </w:tc>
        <w:tc>
          <w:tcPr>
            <w:tcW w:w="9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438,640</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62,725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537,435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515,822</w:t>
            </w:r>
          </w:p>
        </w:tc>
        <w:tc>
          <w:tcPr>
            <w:tcW w:w="2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539,568</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77,157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6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F-41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5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7620</wp:posOffset>
            </wp:positionV>
            <wp:extent cx="1534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left="7900"/>
        <w:spacing w:after="0"/>
        <w:tabs>
          <w:tab w:leader="none" w:pos="92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1534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left="7880"/>
        <w:spacing w:after="0" w:line="232" w:lineRule="auto"/>
        <w:tabs>
          <w:tab w:leader="none" w:pos="8800" w:val="left"/>
          <w:tab w:leader="none" w:pos="972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US$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197,880</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228,865</w:t>
            </w: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32,727</w:t>
            </w: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(45,867)</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(59,254)</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(8,473)</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24,254</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movements in the allowances for doubtful accounts and credit losses were as follows:</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spacing w:after="0"/>
              <w:rPr>
                <w:sz w:val="12"/>
                <w:szCs w:val="12"/>
                <w:color w:val="auto"/>
              </w:rPr>
            </w:pPr>
          </w:p>
        </w:tc>
        <w:tc>
          <w:tcPr>
            <w:tcW w:w="900" w:type="dxa"/>
            <w:vAlign w:val="bottom"/>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42,914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38,396</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45,867</w:t>
            </w: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6,559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(Reversals)/Provisions</w:t>
            </w:r>
          </w:p>
        </w:tc>
        <w:tc>
          <w:tcPr>
            <w:tcW w:w="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(4,518)</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7,471</w:t>
            </w:r>
          </w:p>
        </w:tc>
        <w:tc>
          <w:tcPr>
            <w:tcW w:w="6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13,387</w:t>
            </w: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1,914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45,867</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59,254</w:t>
            </w: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8,473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Group recorded a specific provision for credit losses of RMB9,467 for a customer, due to significant uncertainty in the recoverability of the related account receivable.</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0680"/>
          </w:cols>
          <w:pgMar w:left="320" w:top="482" w:right="8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NET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Borders>
              <w:top w:val="single" w:sz="8" w:color="auto"/>
            </w:tcBorders>
            <w:gridSpan w:val="5"/>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77,952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spacing w:after="0"/>
              <w:rPr>
                <w:sz w:val="19"/>
                <w:szCs w:val="19"/>
                <w:color w:val="auto"/>
              </w:rPr>
            </w:pPr>
          </w:p>
        </w:tc>
        <w:tc>
          <w:tcPr>
            <w:tcW w:w="232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(61,856)  (65,651)   (9,388)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13,855</w:t>
            </w: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12,301</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movements in the provision for contract assets and allowance for credit losses were as follows:</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60" w:type="dxa"/>
            <w:vAlign w:val="bottom"/>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5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860" w:type="dxa"/>
            <w:vAlign w:val="bottom"/>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4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35,770</w:t>
            </w:r>
          </w:p>
        </w:tc>
        <w:tc>
          <w:tcPr>
            <w:tcW w:w="8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58,790</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61,856</w:t>
            </w: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8,845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28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3,066</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58,790</w:t>
            </w:r>
          </w:p>
        </w:tc>
        <w:tc>
          <w:tcPr>
            <w:tcW w:w="2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61,856</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65,651</w:t>
            </w: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9,388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F-43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2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53,763</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48,576</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PREPAYMENTS AND OTHER CURRENT ASSETS</w:t>
            </w:r>
          </w:p>
        </w:tc>
        <w:tc>
          <w:tcPr>
            <w:tcW w:w="3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9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and other current assets consist of the following:</w:t>
            </w:r>
          </w:p>
        </w:tc>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2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input VAT</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25,963</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18,611</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60" w:type="dxa"/>
            <w:vAlign w:val="bottom"/>
            <w:gridSpan w:val="2"/>
          </w:tcPr>
          <w:p>
            <w:pPr>
              <w:jc w:val="right"/>
              <w:ind w:right="2844"/>
              <w:spacing w:after="0"/>
              <w:rPr>
                <w:sz w:val="20"/>
                <w:szCs w:val="20"/>
                <w:color w:val="auto"/>
              </w:rPr>
            </w:pPr>
            <w:r>
              <w:rPr>
                <w:rFonts w:ascii="Times New Roman" w:cs="Times New Roman" w:eastAsia="Times New Roman" w:hAnsi="Times New Roman"/>
                <w:sz w:val="18"/>
                <w:szCs w:val="18"/>
                <w:color w:val="auto"/>
              </w:rPr>
              <w:t>F-44</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82" w:right="1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laboratory equipment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272,231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tools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528,525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521,369</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(448,194)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(457,973)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(65,488)</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(32,297)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(4,618)</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47,152</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31,099</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60"/>
        <w:spacing w:after="0" w:line="282" w:lineRule="auto"/>
        <w:rPr>
          <w:sz w:val="20"/>
          <w:szCs w:val="20"/>
          <w:color w:val="auto"/>
        </w:rPr>
      </w:pPr>
      <w:r>
        <w:rPr>
          <w:rFonts w:ascii="Times New Roman" w:cs="Times New Roman" w:eastAsia="Times New Roman" w:hAnsi="Times New Roman"/>
          <w:sz w:val="18"/>
          <w:szCs w:val="18"/>
          <w:color w:val="auto"/>
        </w:rPr>
        <w:t>Depreciation expenses recognized for the years ended December 31, 2023, 2024 and 2025 were RMB131,452, RMB51,387 and RMB21,624 (US$3,092), respectively.</w:t>
      </w:r>
    </w:p>
    <w:p>
      <w:pPr>
        <w:spacing w:after="0" w:line="306"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6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000" w:type="dxa"/>
            <w:vAlign w:val="bottom"/>
          </w:tcPr>
          <w:p>
            <w:pPr>
              <w:spacing w:after="0"/>
              <w:rPr>
                <w:sz w:val="12"/>
                <w:szCs w:val="12"/>
                <w:color w:val="auto"/>
              </w:rPr>
            </w:pPr>
          </w:p>
        </w:tc>
        <w:tc>
          <w:tcPr>
            <w:tcW w:w="60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(11,442)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(11,574)</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(1,655)</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Amortization expenses recognized for the years ended December 31, 2023, 2024 and 2025 were RMB1,948, RMB813 and RMB137 (US$20), respectively. As of December 31, 2025, estimated amortization expenses of the existing intangible assets for each of the next five years was RMB211, RMB73, nil, nil and nil, respectively.</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0920"/>
          </w:cols>
          <w:pgMar w:left="320" w:top="482" w:right="6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weighted average remaining lease term for the Group’s operating leases were 2.43 years and 2.98 years, respectively, and the corresponding weighted average discount rates were 3.71% and 3.32%,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48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5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35,197</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26,494</w:t>
            </w:r>
          </w:p>
        </w:tc>
        <w:tc>
          <w:tcPr>
            <w:tcW w:w="980" w:type="dxa"/>
            <w:vAlign w:val="bottom"/>
            <w:tcBorders>
              <w:right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24,437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3,494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tcPr>
          <w:p>
            <w:pPr>
              <w:spacing w:after="0"/>
              <w:rPr>
                <w:sz w:val="18"/>
                <w:szCs w:val="18"/>
                <w:color w:val="auto"/>
              </w:rPr>
            </w:pPr>
          </w:p>
        </w:tc>
        <w:tc>
          <w:tcPr>
            <w:tcW w:w="8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31,841</w:t>
            </w:r>
          </w:p>
        </w:tc>
        <w:tc>
          <w:tcPr>
            <w:tcW w:w="980" w:type="dxa"/>
            <w:vAlign w:val="bottom"/>
            <w:tcBorders>
              <w:right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24,437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3,494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8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5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37,700</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27,385</w:t>
            </w:r>
          </w:p>
        </w:tc>
        <w:tc>
          <w:tcPr>
            <w:tcW w:w="980" w:type="dxa"/>
            <w:vAlign w:val="bottom"/>
            <w:tcBorders>
              <w:right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24,479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3,500</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65,841</w:t>
            </w:r>
          </w:p>
        </w:tc>
        <w:tc>
          <w:tcPr>
            <w:tcW w:w="9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16,667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2,383</w:t>
            </w:r>
          </w:p>
        </w:tc>
        <w:tc>
          <w:tcPr>
            <w:tcW w:w="0" w:type="dxa"/>
            <w:vAlign w:val="bottom"/>
          </w:tcPr>
          <w:p>
            <w:pPr>
              <w:spacing w:after="0"/>
              <w:rPr>
                <w:sz w:val="1"/>
                <w:szCs w:val="1"/>
                <w:color w:val="auto"/>
              </w:rPr>
            </w:pPr>
          </w:p>
        </w:tc>
      </w:tr>
      <w:tr>
        <w:trPr>
          <w:trHeight w:val="414"/>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2025 were as follows: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top w:val="single" w:sz="8" w:color="auto"/>
            </w:tcBorders>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gridSpan w:val="3"/>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2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43,151</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 balance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41,220</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F-46</w:t>
            </w: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16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4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20" w:type="dxa"/>
            <w:vAlign w:val="bottom"/>
            <w:tcBorders>
              <w:top w:val="single" w:sz="8" w:color="auto"/>
            </w:tcBorders>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taxes and surcharge</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reimbursement expenses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89,498</w:t>
            </w: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80,861</w:t>
            </w:r>
          </w:p>
        </w:tc>
        <w:tc>
          <w:tcPr>
            <w:tcW w:w="22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11,563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00" w:type="dxa"/>
            <w:vAlign w:val="bottom"/>
            <w:gridSpan w:val="2"/>
          </w:tcPr>
          <w:p>
            <w:pPr>
              <w:jc w:val="right"/>
              <w:ind w:right="2764"/>
              <w:spacing w:after="0"/>
              <w:rPr>
                <w:sz w:val="20"/>
                <w:szCs w:val="20"/>
                <w:color w:val="auto"/>
              </w:rPr>
            </w:pPr>
            <w:r>
              <w:rPr>
                <w:rFonts w:ascii="Times New Roman" w:cs="Times New Roman" w:eastAsia="Times New Roman" w:hAnsi="Times New Roman"/>
                <w:sz w:val="18"/>
                <w:szCs w:val="18"/>
                <w:color w:val="auto"/>
              </w:rPr>
              <w:t>F-47</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60"/>
          </w:cols>
          <w:pgMar w:left="320" w:top="482" w:right="13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June 20, 2014, the shareholders and Board of Directors (the “Board”) of the Company approved a resolution to reserve a total of 3,001,365 ordinary shares of the Company for the purpose of issuing share option awards to its eligible employees, officers or directors of the Group (the “Pre-IPO Plan”). On August 20, 2016, the shareholders and the Board approved a resolution to increase the share option pool to 3,690,599. On April 19, 2018, the shareholders and the Board further approved a resolution to increase the share option pool up to 5,290,234. Awards under the Pre-IPO Plan generally have vesting period over a period of 3 to 4 years and a contractual life of 10 years.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January 2019, the shareholders and the Board approved a Management Share Incentive plan (“Management Plan”) for key executive management personnel. Under the Management Plan, the maximum number of ordinary shares reserved for issuance is 5% of the total outstanding number of shares of the Company on an as converted and fully diluted basis (after taking into account the options granted under the plan). Awards under the Management Plan have vesting period over a period of 4 years and have a contractual life of 10 years.</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2020, the shareholders and the Board approved an equity incentive plan (“2020 Plan”). Under the 2020 Plan, the Company is authorized to grant up to 4,512,276 ordinary shares in the form of options, restricted shares and restricted share units. Awards under the 2020 Plan have vesting period over a period of 4 years and options granted under the 2020 Plan have a 10-year contractual life.</w:t>
      </w:r>
    </w:p>
    <w:p>
      <w:pPr>
        <w:spacing w:after="0" w:line="176"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In December 2021, the shareholders and the Board approved an equity incentive plan (“2021 Plan”). Under the 2021 Plan, the Company is authorized to grant options to purchase up to 12,533,016 ordinary shares. The 2021 Plan consists of 2 vesting tranches, with vesting contingent on a 5-year service condition and achievement of certain market conditions. The first tranche of the 2021 Plan will vest if the Company’s valuation based the preceding</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60-day average closing share price reaches US$10 billion before the fifth anniversary of grant date. The second tranche of the 2021 Plan will vest if the Company valuation reaches US$15 billion before seventh anniversary of the grant date.</w:t>
      </w:r>
    </w:p>
    <w:p>
      <w:pPr>
        <w:spacing w:after="0" w:line="181"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In September 2022, the shareholders and the Board approved an equity incentive plan (“2022 Plan”). Under the 2022 Plan, the Company is authorized to grant options to purchase up to 11,775,525 ordinary shares. The 2022 Plan consists of 3 vesting tranches, with vesting contingent on a 5-year service condition and achievement of certain market conditions. The first tranche of the 2022 Plan will vest if the Company’s valuation based the preceding</w:t>
      </w:r>
    </w:p>
    <w:p>
      <w:pPr>
        <w:spacing w:after="0" w:line="1"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60-day average closing share price reaches US$2 billion before the fifth anniversary of grant date. The second tranche of the 2022 Plan will vest if the Company valuation reaches US$4 billion before seventh anniversary of the grant date. The third tranche of the 2022 Plan will vest if the Company valuation reaches US$10 billion before seventh anniversary of the grant date. The 2022 Plan and the grant of the awards thereunder replaced the Company’s 2021 Plan and the grant of the awards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September 26, 2022, 10,383,868 options outstanding under 2021 Plan were replaced by 10,125,723 options newly granted under 2022 Plan and 50 eligible employees were affected in total by the replacement. The replacement was accounted for as a modification to the original awards and the total incremental cost resulting from the modification was RMB13,246.</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2023, the shareholders and the Board approved an equity incentive plan (“2023 Plan”). Under the 2023 Plan, the Company is authorized to grant options to purchase up to 4,755,000 ordinary shares. Awards under the 2020 Plan have vesting period over a period of 4 years and options granted under the 2020 Plan have a 10-year contractual life.</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9, 2020, the shareholders and the Board approved the ESIP No. 1, pursuant to which the Group may issue up to 2,614,636 Class A ordinary shares to qualified employees at US$13.2 per share, representing a 20% discount from the Group’s Class A ordinary share IPO price. On June 25, 2020, the shareholders and the Board approved the ESIP No. 2, pursuant to which the Group allowed qualified employees to purchase the Group’s Class A ordinary shares at US$20.02 per share, representing a 30% discount from the 5-day volume weighted average price of the Company’s ADSs between June 17, 2020 and June 23, 2020. Each qualified employee can subscribe up to RMB2,000 worth of shares, depending on their position and length of service with the Group.</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Shares subscribed under both ESIP No. 1 and ESIP No. 2 are subject to a three-year vesting period, with 10%, 40% and 50% of ESIP No. 1 shares vesting on the first, second and third anniversary of the Company’s IPO, respectively, and 10%, 40% and 50% of ESIP No. 2 shares vesting on the first, second and third anniversary of the subscription date, respectively. The Group accounts for awards under the ESIP No. 1 and ESIP No. 2 as a grant of restricted share awards subject to vesting condition.</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December 2022, the Group modified ESIP No. 1 and ESIP No. 2 for 90 eligible employees by adding a 5% per annum guaranteed return based on each employee’s respective subscription price. The guaranteed return is payable when the eligible employee reach the end of their original three-year vesting period. The Group accounted for the guaranteed return as an additional cash settled component to the original restricted share awards, subject to a three-year service period from the original subscription date. The Group recorded incremental expenses related to the cash settled component of RMB27,413 for the year ended December 31, 2022.</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82"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Group determined the fair value of share-based payment awards granted without market conditions using the Black-Scholes model and determined the fair value of share-based payment awards granted with market conditions using the Monte Carlo Simulation model. The Black-Scholes models and Monte Carlo Simulation model all require subjective assumptions, including the grant date fair value of the ordinary shares, expected volatility, exercise multiple, risk-free rate and dividend yield. The Group used the grant date closing ADS price quoted on NASDAQ exchange to determine the fair value of its ordinary shares. For expected volatility, the Group referenced historical volatility of several comparable peer companies in the same industry. The exercise multiple was estimated as the average ratio of the stock price to the exercise price of when employees would decide to voluntarily exercise their vested options. The risk-free rate for periods within the contractual life of the options is based on the market yield of U.S. Treasury Bonds in effect at the time of grant. The dividend yield is based on management’s expected dividend policy over the contractual life of the options.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assumptions used to estimate the fair values of the share options granted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center"/>
              <w:ind w:lef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2"/>
          </w:tcPr>
          <w:p>
            <w:pPr>
              <w:jc w:val="center"/>
              <w:ind w:left="3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3.48%-4.61%</w:t>
            </w:r>
          </w:p>
        </w:tc>
        <w:tc>
          <w:tcPr>
            <w:tcW w:w="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3.70%-4.57%</w:t>
            </w:r>
          </w:p>
        </w:tc>
        <w:tc>
          <w:tcPr>
            <w:tcW w:w="4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3.97%-4.23%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0%</w:t>
            </w:r>
          </w:p>
        </w:tc>
        <w:tc>
          <w:tcPr>
            <w:tcW w:w="1640" w:type="dxa"/>
            <w:vAlign w:val="bottom"/>
            <w:gridSpan w:val="2"/>
          </w:tcPr>
          <w:p>
            <w:pPr>
              <w:jc w:val="center"/>
              <w:ind w:left="399"/>
              <w:spacing w:after="0"/>
              <w:rPr>
                <w:sz w:val="20"/>
                <w:szCs w:val="20"/>
                <w:color w:val="auto"/>
              </w:rPr>
            </w:pPr>
            <w:r>
              <w:rPr>
                <w:rFonts w:ascii="Times New Roman" w:cs="Times New Roman" w:eastAsia="Times New Roman" w:hAnsi="Times New Roman"/>
                <w:sz w:val="18"/>
                <w:szCs w:val="18"/>
                <w:color w:val="auto"/>
                <w:w w:val="99"/>
              </w:rPr>
              <w:t>0%</w:t>
            </w:r>
          </w:p>
        </w:tc>
        <w:tc>
          <w:tcPr>
            <w:tcW w:w="1660" w:type="dxa"/>
            <w:vAlign w:val="bottom"/>
            <w:gridSpan w:val="2"/>
          </w:tcPr>
          <w:p>
            <w:pPr>
              <w:jc w:val="center"/>
              <w:ind w:left="376"/>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168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47.9%-50.69%</w:t>
            </w:r>
          </w:p>
        </w:tc>
        <w:tc>
          <w:tcPr>
            <w:tcW w:w="164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47.83%-52.04%</w:t>
            </w:r>
          </w:p>
        </w:tc>
        <w:tc>
          <w:tcPr>
            <w:tcW w:w="1660" w:type="dxa"/>
            <w:vAlign w:val="bottom"/>
            <w:gridSpan w:val="2"/>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48.47%-51.33%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6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4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per ordinary share as at valuation dates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US$0.93-3.11</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US$0.28-0.76</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US$0.29-1.35</w:t>
            </w:r>
          </w:p>
        </w:tc>
      </w:tr>
      <w:tr>
        <w:trPr>
          <w:trHeight w:val="365"/>
        </w:trPr>
        <w:tc>
          <w:tcPr>
            <w:tcW w:w="4280" w:type="dxa"/>
            <w:vAlign w:val="bottom"/>
          </w:tcPr>
          <w:p>
            <w:pPr>
              <w:spacing w:after="0"/>
              <w:rPr>
                <w:sz w:val="24"/>
                <w:szCs w:val="24"/>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F-50</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120" w:right="6520" w:hanging="4"/>
        <w:spacing w:after="0" w:line="377" w:lineRule="auto"/>
        <w:tabs>
          <w:tab w:leader="none" w:pos="552"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(CONTINUED) </w:t>
      </w:r>
      <w:r>
        <w:rPr>
          <w:rFonts w:ascii="Times New Roman" w:cs="Times New Roman" w:eastAsia="Times New Roman" w:hAnsi="Times New Roman"/>
          <w:sz w:val="18"/>
          <w:szCs w:val="18"/>
          <w:b w:val="1"/>
          <w:bCs w:val="1"/>
          <w:i w:val="1"/>
          <w:iCs w:val="1"/>
          <w:color w:val="auto"/>
        </w:rPr>
        <w:t xml:space="preserve">Share options </w:t>
      </w:r>
      <w:r>
        <w:rPr>
          <w:rFonts w:ascii="Times New Roman" w:cs="Times New Roman" w:eastAsia="Times New Roman" w:hAnsi="Times New Roman"/>
          <w:sz w:val="18"/>
          <w:szCs w:val="18"/>
          <w:b w:val="1"/>
          <w:bCs w:val="1"/>
          <w:color w:val="auto"/>
        </w:rPr>
        <w:t>(continued)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share option activities for the year ended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gridSpan w:val="2"/>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per</w:t>
            </w:r>
          </w:p>
        </w:tc>
        <w:tc>
          <w:tcPr>
            <w:tcW w:w="2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per</w:t>
            </w:r>
          </w:p>
        </w:tc>
        <w:tc>
          <w:tcPr>
            <w:tcW w:w="2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 2025</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14,939,945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2.2266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4,238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0.0002</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1,349,580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(1,074,846)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0.0002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9.49</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Reversal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3,506,228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(1,238,454)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1.5632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17,482,453</w:t>
            </w: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1.7921</w:t>
            </w:r>
          </w:p>
        </w:tc>
        <w:tc>
          <w:tcPr>
            <w:tcW w:w="90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6.67</w:t>
            </w:r>
          </w:p>
        </w:tc>
        <w:tc>
          <w:tcPr>
            <w:tcW w:w="9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6.49</w:t>
            </w:r>
          </w:p>
        </w:tc>
        <w:tc>
          <w:tcPr>
            <w:tcW w:w="7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18,711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at December 31, 2025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17,482,453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1.7921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6.67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6.49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18,711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at December 31, 2025</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0.6555</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19.48</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4.97</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11,456</w:t>
            </w: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5,626,253</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difference between the exercise price of the awards and the fair value of the underlying ordinary shares at each reporting date for those awards that had an exercise price below the estimated fair value of the relevant ordinary shares.</w:t>
      </w:r>
    </w:p>
    <w:p>
      <w:pPr>
        <w:spacing w:after="0" w:line="14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during the years ended December 31, 2023, 2024 and 2025 were US$3.07, US$0.74 and US$0.30, respectively. Total intrinsic value of the options exercised for the years ended December 31, 2023, 2024 and 2025 were RMB229, RMB27,657 and RMB15,783 (US$2,257). The aggregate fair values of the equity awards vested during the years ended December 31, 2023, 2024 and 2025 were RMB39,410, RMB987,921 and RMB49,576 (US$7,089), respectively.</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employee share-based compensation expense related to unvested options was RMB53,672 (US$7,675), which may be adjusted for actual forfeitures occurring in the future. Total unrecognized compensation cost is recognized over a weighted-average period of 0.50 years.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82"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 units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Board granted restricted share units to the board members in June 2020, June 2022 and June 2023. The Board determined vesting and other conditions of individual awards, which are subject to multiple service vesting periods. The restricted share units vest over a period of two years. The Group determined the fair value of the restricted share units using the grant date closing ADS price quoted on NASDAQ exchange. The Group recognized share-based compensation expenses using the straight-line method over the requisite service period, which is generally the vesting period of the restricted shares units. The restricted shares units are exercisable up to ten years from the grant date. As of December 31, 2024 and 2025, there were 25,267 and 25,267 restricted shares vested and expected to vest, with a weighted average grant date fair value of US$2.34 and US$2.34 per unit, a weighted average remaining contractual term of 7.47 and 6.47 years, and an aggregate intrinsic value of US$19 and US$53.</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share-based compensation expenses recognized for the years ended December 31, 2023, 2024 and 2025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6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40" w:type="dxa"/>
            <w:vAlign w:val="bottom"/>
            <w:tcBorders>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1,869</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53,474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30,677</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9,658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5,010</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195,274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118,066</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8,064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260,719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155,622</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13,876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140" w:type="dxa"/>
            <w:vAlign w:val="bottom"/>
            <w:gridSpan w:val="3"/>
          </w:tcPr>
          <w:p>
            <w:pPr>
              <w:jc w:val="right"/>
              <w:ind w:right="2660"/>
              <w:spacing w:after="0"/>
              <w:rPr>
                <w:sz w:val="20"/>
                <w:szCs w:val="20"/>
                <w:color w:val="auto"/>
              </w:rPr>
            </w:pPr>
            <w:r>
              <w:rPr>
                <w:rFonts w:ascii="Times New Roman" w:cs="Times New Roman" w:eastAsia="Times New Roman" w:hAnsi="Times New Roman"/>
                <w:sz w:val="18"/>
                <w:szCs w:val="18"/>
                <w:color w:val="auto"/>
              </w:rPr>
              <w:t>F-52</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Treasury stock account includes 34,724 ordinary shares repurchased from shareholder, 393,028 ordinary shares repurchased from eligible employees under ESIP No. 1 and ESIP No. 2 and 3,023,138 ordinary shares repurchased from the open market as of December 31, 2025.</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February 2023, the Company repurchased 15,783 ordinary shares from one shareholder for RMB1,000 in cash.</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May 2023, the shareholders and the Board approved an execution of the Fallback Mechanism for ESIP No.1 and ESIP No.2, and repurchased 434,000 restricted shares of 102 eligible employees for RMB47,751 in cash during the year ended December 31, 2024, which was accounted for as a modification of the original award. The Company recorded RMB6,638 in treasury stock and no incremental compensation cost was recorded as the fair value of modified award was less than the fair value of the original award immediately before the modification date.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September and December 2024, 162,769 shares of treasury stock were reissued for exercise of share options by the employees.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March, June and September 2025, 427,752 shares of treasury stock were reissued for exercise of share options by the employees.</w:t>
      </w:r>
    </w:p>
    <w:p>
      <w:pPr>
        <w:spacing w:after="0" w:line="225"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remaining repurchased stock is reserved for future issuance upon the exercise of the Company’s vested share options and hence classified as treasury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82"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the current tax laws of the Cayman Islands, the Company is not subject to tax on income or capital gains. Besides, upon payment of dividends by the Company to its shareholders, no Cayman Islands withholding tax will be imposed.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19" w:lineRule="exact"/>
        <w:rPr>
          <w:sz w:val="20"/>
          <w:szCs w:val="20"/>
          <w:color w:val="auto"/>
        </w:rPr>
      </w:pPr>
    </w:p>
    <w:p>
      <w:pPr>
        <w:jc w:val="both"/>
        <w:ind w:left="120" w:right="420"/>
        <w:spacing w:after="0" w:line="289" w:lineRule="auto"/>
        <w:rPr>
          <w:sz w:val="20"/>
          <w:szCs w:val="20"/>
          <w:color w:val="auto"/>
        </w:rPr>
      </w:pPr>
      <w:r>
        <w:rPr>
          <w:rFonts w:ascii="Times New Roman" w:cs="Times New Roman" w:eastAsia="Times New Roman" w:hAnsi="Times New Roman"/>
          <w:sz w:val="17"/>
          <w:szCs w:val="17"/>
          <w:color w:val="auto"/>
        </w:rPr>
        <w:t>As a result of the United States tax law amendments, the federal statutory income tax rate for the subsidiary in the US was 21% for the year ended December 31, 2025. Burning Rock Dx LLC operated its business in the states of California, Maryland, Colorado and Massachusetts, and was also subject to state income tax at rates of approximately 8.84%, 8.25%, 4.25% and 8.0%, respectively, for the year ended December 31, 2025.</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 Hong Kong Limited is incorporated in Hong Kong and is subject to Hong Kong profits tax of 16.5% on its activities conducted in Hong Kong.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11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Company’s subsidiaries, VIE and subsidiaries of the VIE domiciled in the PRC are subject to the statutory rate of 25%, in accordance with the Enterprise Income Tax law (the ‘‘EIT Law’’), which was effective since January 1, 2008 except for the following entity which is eligible for a preferential tax rate.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Guangzhou Burning Rock Dx Co., Ltd. was recognized as a qualified HNTE under the EIT Law by the relevant government authorities in December 2025 and is subject to a preferential rate of 15% for three years from 2025 to 2027.</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Burning Rock Biotechnology (Shanghai) Co., Ltd. was recognized as a qualified HNTE under the EIT Law by the relevant government authorities in December 2024 and is subject to a preferential rate of 15% for three years from 2024 to 2026.</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loss before income tax consists of:</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9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7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4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(604,997)</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(305,469)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(23,940)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Non-PRC</w:t>
            </w:r>
          </w:p>
        </w:tc>
        <w:tc>
          <w:tcPr>
            <w:tcW w:w="30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(46,304)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(35,272)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(29,850)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income tax</w:t>
            </w:r>
          </w:p>
        </w:tc>
        <w:tc>
          <w:tcPr>
            <w:tcW w:w="3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(651,301)</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(340,741)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(53,790)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F-54</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current and deferred components of the income tax expenses are as follows:</w:t>
      </w:r>
    </w:p>
    <w:p>
      <w:pPr>
        <w:spacing w:after="0" w:line="24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7620</wp:posOffset>
            </wp:positionV>
            <wp:extent cx="15176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7880"/>
        <w:spacing w:after="0"/>
        <w:tabs>
          <w:tab w:leader="none" w:pos="8560" w:val="left"/>
          <w:tab w:leader="none" w:pos="95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-3175</wp:posOffset>
            </wp:positionV>
            <wp:extent cx="15176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ind w:left="7860"/>
        <w:spacing w:after="0" w:line="232" w:lineRule="auto"/>
        <w:tabs>
          <w:tab w:leader="none" w:pos="8540" w:val="left"/>
          <w:tab w:leader="none" w:pos="9220" w:val="left"/>
          <w:tab w:leader="none" w:pos="988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US$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223</w:t>
            </w: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223</w:t>
            </w:r>
          </w:p>
        </w:tc>
        <w:tc>
          <w:tcPr>
            <w:tcW w:w="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Reconciliation between the income tax expenses computed by applying the statutory tax rate to loss before income tax and the actual provision for income tax is as follows:</w:t>
      </w:r>
    </w:p>
    <w:p>
      <w:pPr>
        <w:spacing w:after="0" w:line="18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2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72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4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(651,301)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(340,741)</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statutory tax rate</w:t>
            </w:r>
          </w:p>
        </w:tc>
        <w:tc>
          <w:tcPr>
            <w:tcW w:w="4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(162,825)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(85,185)</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w:t>
            </w:r>
          </w:p>
        </w:tc>
        <w:tc>
          <w:tcPr>
            <w:tcW w:w="4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PRC preferential tax rates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4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(21,812)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(15,814)</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69,646</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4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(1,807)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(1,776)</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tax attributes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only adjustment</w:t>
            </w:r>
          </w:p>
        </w:tc>
        <w:tc>
          <w:tcPr>
            <w:tcW w:w="4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(3,083)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pricing adjustment</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penalty</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4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(13,453)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98,530</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60,505</w:t>
            </w:r>
          </w:p>
        </w:tc>
        <w:tc>
          <w:tcPr>
            <w:tcW w:w="20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34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0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54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F-55</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660"/>
          </w:cols>
          <w:pgMar w:left="320" w:top="482" w:right="9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13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Reconciliation between the income tax expenses computed by applying the statutory tax rate to loss before income tax and the actual provision for income tax is as follows (continued):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8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tcPr>
          <w:p>
            <w:pPr>
              <w:jc w:val="center"/>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 xml:space="preserve">US$ </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at PRC statutory rate</w:t>
            </w:r>
          </w:p>
        </w:tc>
        <w:tc>
          <w:tcPr>
            <w:tcW w:w="4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(13,448)</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(1,923)</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3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3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PRC and other jurisdictions</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1,223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Hong Kong</w:t>
            </w:r>
          </w:p>
        </w:tc>
        <w:tc>
          <w:tcPr>
            <w:tcW w:w="3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PRC and other jurisdictions</w:t>
            </w:r>
          </w:p>
        </w:tc>
        <w:tc>
          <w:tcPr>
            <w:tcW w:w="4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(144)</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expenses</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1,008</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Non-taxable income</w:t>
            </w:r>
          </w:p>
        </w:tc>
        <w:tc>
          <w:tcPr>
            <w:tcW w:w="4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(1,287)</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PRC and other jurisdictions</w:t>
            </w:r>
          </w:p>
        </w:tc>
        <w:tc>
          <w:tcPr>
            <w:tcW w:w="4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(842)</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only adjustment</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1,350</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6,210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888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4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PRC preferential tax rates</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3,485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Non-deductible expenses</w:t>
            </w:r>
          </w:p>
        </w:tc>
        <w:tc>
          <w:tcPr>
            <w:tcW w:w="3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gain and loss</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7,891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ESOP expense</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3,548</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Excessive Entertainment</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4,260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Disposal loss</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810</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670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14,831</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2,121</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1,335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4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(57,595)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(8,235)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rate change</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870</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to return</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14,232</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Expiration of tax attributes</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12,504</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1,788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penalty</w:t>
            </w:r>
          </w:p>
        </w:tc>
        <w:tc>
          <w:tcPr>
            <w:tcW w:w="4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699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4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1,556</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223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65"/>
        </w:trPr>
        <w:tc>
          <w:tcPr>
            <w:tcW w:w="5200" w:type="dxa"/>
            <w:vAlign w:val="bottom"/>
          </w:tcPr>
          <w:p>
            <w:pPr>
              <w:spacing w:after="0"/>
              <w:rPr>
                <w:sz w:val="24"/>
                <w:szCs w:val="24"/>
                <w:color w:val="auto"/>
              </w:rPr>
            </w:pPr>
          </w:p>
        </w:tc>
        <w:tc>
          <w:tcPr>
            <w:tcW w:w="4080" w:type="dxa"/>
            <w:vAlign w:val="bottom"/>
            <w:gridSpan w:val="2"/>
          </w:tcPr>
          <w:p>
            <w:pPr>
              <w:jc w:val="right"/>
              <w:ind w:right="3528"/>
              <w:spacing w:after="0"/>
              <w:rPr>
                <w:sz w:val="20"/>
                <w:szCs w:val="20"/>
                <w:color w:val="auto"/>
              </w:rPr>
            </w:pPr>
            <w:r>
              <w:rPr>
                <w:rFonts w:ascii="Times New Roman" w:cs="Times New Roman" w:eastAsia="Times New Roman" w:hAnsi="Times New Roman"/>
                <w:sz w:val="18"/>
                <w:szCs w:val="18"/>
                <w:color w:val="auto"/>
              </w:rPr>
              <w:t>F-56</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components of the deferred tax assets and liabilities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00" w:type="dxa"/>
            <w:vAlign w:val="bottom"/>
            <w:gridSpan w:val="2"/>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262,425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Excessive education fee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 recognition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recognition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Excessive donation expense carried forward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fixed asset and intangible asset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on financial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609,265</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625,686</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89,470</w:t>
            </w:r>
          </w:p>
        </w:tc>
        <w:tc>
          <w:tcPr>
            <w:tcW w:w="120" w:type="dxa"/>
            <w:vAlign w:val="bottom"/>
            <w:shd w:val="clear" w:color="auto" w:fill="CCEEFF"/>
          </w:tcPr>
          <w:p>
            <w:pPr>
              <w:spacing w:after="0"/>
              <w:rPr>
                <w:sz w:val="18"/>
                <w:szCs w:val="18"/>
                <w:color w:val="auto"/>
              </w:rPr>
            </w:pPr>
          </w:p>
        </w:tc>
      </w:tr>
      <w:tr>
        <w:trPr>
          <w:trHeight w:val="230"/>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(595,868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(616,909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(13,397)</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(8,777)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operates through its subsidiaries, VIE and subsidiaries of the VIE and valuation allowance is considered on an individual entity basis. The Company recorded full valuation allowance against deferred tax assets of those entities that were in a three-year cumulative financial loss and are not forecasting profits in the near future as of December 31, 2024 and 2025. In making such determination, the Company also evaluated a variety of factors including the Company’s operating history, accumulated deficit, existence of taxable temporary differences and reversal periods.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Group had net operating losses of RMB885,130 and RMB1,031,125 (US$147,449), respectively, from its PRC subsidiaries and US subsidiary. The tax losses in the PRC can be carried forward for five years to offset future taxable income, and the period is extended to ten years for entities that qualify as a HNTE. The Company’s net operating losses from PRC subsidiaries are estimated to expire beginning 2025, and the net operating losses from United States subsidiary can be carried forward with no expiration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82"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intends to permanently reinvest the undistributed earnings from foreign subsidiaries to fund future operations. As of December 31, 2025, the total amount of undistributed earnings from its PRC subsidiaries as well as VIE is nil. The total undistributed earnings of the Company’s Hong Kong subsidiary is RMB42,444 (US$6,069). The amount of unrecognized deferred tax liabilities for temporary differences related to investments in foreign subsidiaries is not determined because such a determination is not practicable.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1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As of December 31, 2024 and 2025, the Company recorded an unrecognized tax benefits of RMB11,338 and RMB13,738 (US$1,964), respectively, of which RMB9,172 and RMB10,029 (US$1,434) are presented on a net basis against the deferred tax assets related to tax loss carry forwards on the consolidated balance sheets. It is possible that the amount of uncertain tax position will change in the next twelve months; however, an estimate of the range of the possible outcomes cannot be made at this moment. As of December 31, 2025, unrecognized tax benefits of RMB13,738 (US$1,964), if ultimately recognized, will impact the effective tax rate. A reconciliation of the beginning and ending amount of unrecognized tax benefit was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60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11,338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(8,015)</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13,738</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as part of its income tax expense. For the year ended December 31, 2025, the Company recorded RMB699 (US$100) of interest expense in relation to the unrecognized tax benefit into income tax expense. The accumulated interest expense accrued in relation to the unrecognized tax benefit is RMB1,701 (US$243) as of December 31, 2025.</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 general, the PRC tax authorities have up to five years to conduct examinations of the tax filings of the Company’s PRC subsidiaries, the VIE and the VIE’s subsidiaries. Accordingly, the PRC tax filings from 2020 through 2025 remain open to examination by the respective tax authorities. The Group may also be subject to examinations of tax filings in other jurisdictions, which are not material to the consolidated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80"/>
          </w:cols>
          <w:pgMar w:left="320" w:top="482"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 and diluted loss per share for the years ended December 31, 2023, 2024 and 2025 are calculated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14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0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88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2260" w:type="dxa"/>
            <w:vAlign w:val="bottom"/>
            <w:gridSpan w:val="5"/>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960" w:type="dxa"/>
            <w:vAlign w:val="bottom"/>
            <w:gridSpan w:val="3"/>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 to</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(543,089)</w:t>
            </w:r>
          </w:p>
        </w:tc>
        <w:tc>
          <w:tcPr>
            <w:tcW w:w="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(110,600)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(288,286)</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(58,340)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(46,326)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(6,626)</w:t>
            </w:r>
          </w:p>
        </w:tc>
        <w:tc>
          <w:tcPr>
            <w:tcW w:w="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(9,020)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ordinary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85,188,137</w:t>
            </w:r>
          </w:p>
        </w:tc>
        <w:tc>
          <w:tcPr>
            <w:tcW w:w="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85,610,197</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88,979,617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88,979,617</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unvested restricted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(116,446)</w:t>
            </w:r>
          </w:p>
        </w:tc>
        <w:tc>
          <w:tcPr>
            <w:tcW w:w="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1"/>
        </w:trPr>
        <w:tc>
          <w:tcPr>
            <w:tcW w:w="23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number</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ordinary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 basic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85,071,691</w:t>
            </w:r>
          </w:p>
        </w:tc>
        <w:tc>
          <w:tcPr>
            <w:tcW w:w="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85,610,197</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88,979,617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88,979,617</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17,324,848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Loss per share - basic and</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(6.38)</w:t>
            </w:r>
          </w:p>
        </w:tc>
        <w:tc>
          <w:tcPr>
            <w:tcW w:w="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(6.38)</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(3.37)</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(0.52)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(0.07)</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(0.52)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Group applied the two-class method to the outstanding Class A and Class B ordinary shares for the years ended December 31, 2023, 2024 and 2025. The Group excluded unvested restricted shares from the computation of weighted-average number or ordinary shares outstanding because the Group was in a loss position and the restricted shares holders do not have an obligation to fund losses of the Group. The Group excluded the effects of all outstanding share options from the computation of diluted loss per share for the years ended December 31, 2023, 2024 and 2025 as their effects would be anti-dilutive.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33"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Related parties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28"/>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EaSuMed Holding Ltd.</w:t>
            </w: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method investee</w:t>
            </w:r>
          </w:p>
        </w:tc>
      </w:tr>
    </w:tbl>
    <w:p>
      <w:pPr>
        <w:spacing w:after="0" w:line="83"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Group had the following related party transactions:</w:t>
      </w:r>
    </w:p>
    <w:p>
      <w:pPr>
        <w:spacing w:after="0" w:line="248"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7620</wp:posOffset>
            </wp:positionV>
            <wp:extent cx="15087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ind w:left="8300"/>
        <w:spacing w:after="0"/>
        <w:tabs>
          <w:tab w:leader="none" w:pos="8920" w:val="left"/>
          <w:tab w:leader="none" w:pos="99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-3175</wp:posOffset>
            </wp:positionV>
            <wp:extent cx="15087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8280"/>
        <w:spacing w:after="0" w:line="235" w:lineRule="auto"/>
        <w:tabs>
          <w:tab w:leader="none" w:pos="8900" w:val="left"/>
          <w:tab w:leader="none" w:pos="95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b w:val="1"/>
          <w:bCs w:val="1"/>
          <w:color w:val="auto"/>
        </w:rPr>
        <w:t>Service received from:</w:t>
      </w:r>
    </w:p>
    <w:p>
      <w:pPr>
        <w:spacing w:after="0" w:line="7" w:lineRule="exact"/>
        <w:rPr>
          <w:sz w:val="20"/>
          <w:szCs w:val="20"/>
          <w:color w:val="auto"/>
        </w:rPr>
      </w:pPr>
    </w:p>
    <w:p>
      <w:pPr>
        <w:ind w:left="560"/>
        <w:spacing w:after="0"/>
        <w:tabs>
          <w:tab w:leader="none" w:pos="8440" w:val="left"/>
          <w:tab w:leader="none" w:pos="9000" w:val="left"/>
          <w:tab w:leader="none" w:pos="9660" w:val="left"/>
          <w:tab w:leader="none" w:pos="10340" w:val="left"/>
        </w:tabs>
        <w:rPr>
          <w:sz w:val="20"/>
          <w:szCs w:val="20"/>
          <w:color w:val="auto"/>
        </w:rPr>
      </w:pPr>
      <w:r>
        <w:rPr>
          <w:rFonts w:ascii="Times New Roman" w:cs="Times New Roman" w:eastAsia="Times New Roman" w:hAnsi="Times New Roman"/>
          <w:sz w:val="18"/>
          <w:szCs w:val="18"/>
          <w:color w:val="auto"/>
        </w:rPr>
        <w:t>EaSuMed Holding Ltd.</w:t>
      </w:r>
      <w:r>
        <w:rPr>
          <w:sz w:val="20"/>
          <w:szCs w:val="20"/>
          <w:color w:val="auto"/>
        </w:rPr>
        <w:tab/>
      </w: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5715</wp:posOffset>
            </wp:positionV>
            <wp:extent cx="150876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1508760" cy="25400"/>
                    </a:xfrm>
                    <a:prstGeom prst="rect">
                      <a:avLst/>
                    </a:prstGeom>
                    <a:noFill/>
                  </pic:spPr>
                </pic:pic>
              </a:graphicData>
            </a:graphic>
          </wp:anchor>
        </w:drawing>
      </w:r>
    </w:p>
    <w:p>
      <w:pPr>
        <w:spacing w:after="0" w:line="385"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had no significant commitments as of December 31,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Group is currently not involved in any legal or administrative proceedings that may have a material adverse impact on the Group’s business, financial position or results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40"/>
          </w:cols>
          <w:pgMar w:left="320" w:top="482"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subsidiary, the VIE and subsidiary of the VIE. Relevant PRC statutory laws and regulations permit payments of dividends by the Company’s PRC subsidiaries, the VIE and subsidiary of the VIE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the VIE and VIE’s subsidiaries.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accordance with the Regulations on Enterprises with Foreign Investment of China and the articles of association of the Company’s PRC subsidiary, a foreign-invested enterprise established in the PRC is required to provide certain statutory reserves, namely the general reserve fund, enterprise expansion fund and staff welfare and bonus fund, all of which are appropriated from net profit as reported in its PRC statutory accounts. A foreign-invested enterprise is required to allocate at least 10% of its annual after tax profit to the general reserve fund until such reserve has reached 50% of its registered capital based on the enterprise’s PRC statutory accounts. Appropriations to the enterprise expansion fund and staff welfare and bonus fund are at the discretion of the board of directors for all foreign-invested enterprises. These reserves can only be used for specific purposes and are not distributable as cash dividends. The WFOE was established as a foreign-invested enterprise and, therefore, is subject to the above mandated restrictions on distributable profits. No appropriations were made to statutory reserves by the WFOE during all periods presented due to losses incurred.</w:t>
      </w:r>
    </w:p>
    <w:p>
      <w:pPr>
        <w:spacing w:after="0" w:line="19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 No appropriations were made to statutory reserves by the Company’s PRC subsidiary as a domestic enterprise, the VIE and the VIE’s subsidiaries during all periods presented due to losses incurred.</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Foreign exchange and other regulations in the PRC may further restrict the Group’s VIE from transferring funds to the Company in the form of dividends, loans and advances. Amounts restricted include paid-in capital and statutory reserves of the Group’s PRC subsidiaries and the equity of the VIE and its subsidiaries, as determined pursuant to PRC generally accepted accounting principles. As a result of these PRC laws and regulations, the PRC entities are restricted from transferring a portion of their net assets to the Company. As of December 31, 2024 and 2025, restricted net assets of the Company’s PRC subsidiaries, the VIE and the VIE’s subsidiaries were RMB194,264 and RMB97,155 (US$13,893), respectively.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82"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presentation of the parent company only condensed financial information, the Company records its investments in subsidiaries and VIE under the equity method of accounting as prescribed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Such investments are presented on the condensed balance sheets as “Equity method investment” and their respective losses as “Share of losses in subsidiaries, the VIE and the VIE’s subsidiaries” on the condensed statements of comprehensive loss. Under the equity method of accounting, the Company’s carrying amount of its investments in subsidiaries, the VIE and the VIE’s subsidiaries was reduced to nil as of December 31, 2024 and 2025 and the carrying amount of “Inter-company receivables” was further adjusted as the Company committed to provide financial support to the VIE as disclosed in Note 1.</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subsidiaries did not pay any dividends to the Company for the years presented. The Company does not have significant commitments or long-term obligations as of the year end other than those presented. The parent company only financial statements should be read in conjunction with the Company’s consolidated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80"/>
          </w:cols>
          <w:pgMar w:left="320" w:top="482"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9,571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3,198,215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3,122,220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446,472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3,208,064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3,132,821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447,988</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8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3,208,141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3,132,896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447,998</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4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2,626,851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2,596,203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371,252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2,627,314</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2,597,632</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2,627,314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2,597,632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371,456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4740" w:type="dxa"/>
            <w:vAlign w:val="bottom"/>
            <w:gridSpan w:val="3"/>
          </w:tcPr>
          <w:p>
            <w:pPr>
              <w:jc w:val="right"/>
              <w:ind w:right="3680"/>
              <w:spacing w:after="0"/>
              <w:rPr>
                <w:sz w:val="20"/>
                <w:szCs w:val="20"/>
                <w:color w:val="auto"/>
              </w:rPr>
            </w:pPr>
            <w:r>
              <w:rPr>
                <w:rFonts w:ascii="Times New Roman" w:cs="Times New Roman" w:eastAsia="Times New Roman" w:hAnsi="Times New Roman"/>
                <w:sz w:val="18"/>
                <w:szCs w:val="18"/>
                <w:color w:val="auto"/>
              </w:rPr>
              <w:t>F-63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tab/>
        <w:t>CONDENSED FINANCIAL INFORMATION OF THE PARENT COMPANY (CONTINUED)</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Condensed Balance Sheets </w:t>
      </w:r>
      <w:r>
        <w:rPr>
          <w:rFonts w:ascii="Times New Roman" w:cs="Times New Roman" w:eastAsia="Times New Roman" w:hAnsi="Times New Roman"/>
          <w:sz w:val="18"/>
          <w:szCs w:val="18"/>
          <w:b w:val="1"/>
          <w:bCs w:val="1"/>
          <w:color w:val="auto"/>
        </w:rPr>
        <w:t>(continued)</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100" w:type="dxa"/>
            <w:vAlign w:val="bottom"/>
          </w:tcPr>
          <w:p>
            <w:pPr>
              <w:spacing w:after="0"/>
              <w:rPr>
                <w:sz w:val="15"/>
                <w:szCs w:val="15"/>
                <w:color w:val="auto"/>
              </w:rPr>
            </w:pPr>
          </w:p>
        </w:tc>
        <w:tc>
          <w:tcPr>
            <w:tcW w:w="21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8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(CONTINUED)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US$0.0002 per share; 230,000,000 shares authorized; 90,289,123 and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87,857,741 shares issued and outstanding as of December 31, 2024 and 2025, respectively)</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8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US$0.0002 per share; 20,000,000 shares authorized; 17,324,848 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and 2025)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(63,264)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(57,193)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(8,178)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5,002,255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5,010,060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716,429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(4,200,261)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(4,255,607)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(608,544)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(158,048)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(162,137)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(23,185)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580,827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535,264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76,542</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3,208,141</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3,132,896</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F-64</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Comprehensive Loss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40" w:type="dxa"/>
            <w:vAlign w:val="bottom"/>
            <w:gridSpan w:val="2"/>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12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(11,616)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(13,128)</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(9,123)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266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in subsidiaries, the VIE and the VIE’s subsidiaries</w:t>
            </w:r>
          </w:p>
        </w:tc>
        <w:tc>
          <w:tcPr>
            <w:tcW w:w="3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(645,522)</w:t>
            </w:r>
          </w:p>
        </w:tc>
        <w:tc>
          <w:tcPr>
            <w:tcW w:w="24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(337,078)   (50,457)   (7,215)</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(657,138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(350,308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(657,138)</w:t>
            </w:r>
          </w:p>
        </w:tc>
        <w:tc>
          <w:tcPr>
            <w:tcW w:w="24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(350,308)  (59,580)  (8,521)</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2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605</w:t>
            </w:r>
          </w:p>
        </w:tc>
        <w:tc>
          <w:tcPr>
            <w:tcW w:w="12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(362)</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(339)</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(653,689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(346,626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(653,689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(346,626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 of nil:</w:t>
            </w:r>
          </w:p>
        </w:tc>
        <w:tc>
          <w:tcPr>
            <w:tcW w:w="2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4,189</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3,485</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(4,089)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(649,500)</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(343,141)</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(59,435)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(8,501)</w:t>
            </w:r>
          </w:p>
        </w:tc>
      </w:tr>
      <w:tr>
        <w:trPr>
          <w:trHeight w:val="365"/>
        </w:trPr>
        <w:tc>
          <w:tcPr>
            <w:tcW w:w="5040" w:type="dxa"/>
            <w:vAlign w:val="bottom"/>
          </w:tcPr>
          <w:p>
            <w:pPr>
              <w:spacing w:after="0"/>
              <w:rPr>
                <w:sz w:val="24"/>
                <w:szCs w:val="24"/>
                <w:color w:val="auto"/>
              </w:rPr>
            </w:pPr>
          </w:p>
        </w:tc>
        <w:tc>
          <w:tcPr>
            <w:tcW w:w="3580" w:type="dxa"/>
            <w:vAlign w:val="bottom"/>
            <w:gridSpan w:val="3"/>
          </w:tcPr>
          <w:p>
            <w:pPr>
              <w:jc w:val="right"/>
              <w:ind w:right="2861"/>
              <w:spacing w:after="0"/>
              <w:rPr>
                <w:sz w:val="20"/>
                <w:szCs w:val="20"/>
                <w:color w:val="auto"/>
              </w:rPr>
            </w:pPr>
            <w:r>
              <w:rPr>
                <w:rFonts w:ascii="Times New Roman" w:cs="Times New Roman" w:eastAsia="Times New Roman" w:hAnsi="Times New Roman"/>
                <w:sz w:val="18"/>
                <w:szCs w:val="18"/>
                <w:color w:val="auto"/>
              </w:rPr>
              <w:t>F-65</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8"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2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2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5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operating activities</w:t>
            </w:r>
          </w:p>
        </w:tc>
        <w:tc>
          <w:tcPr>
            <w:tcW w:w="3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(19,253)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(7,833)</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15,221</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2,176</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(41,305)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(8,714)</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(1,247)</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2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8,902</w:t>
            </w: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7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cash equivalents and restricted cash</w:t>
            </w:r>
          </w:p>
        </w:tc>
        <w:tc>
          <w:tcPr>
            <w:tcW w:w="2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(59,745)</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(4,681)</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133</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year</w:t>
            </w:r>
          </w:p>
        </w:tc>
        <w:tc>
          <w:tcPr>
            <w:tcW w:w="27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73,978</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year</w:t>
            </w:r>
          </w:p>
        </w:tc>
        <w:tc>
          <w:tcPr>
            <w:tcW w:w="2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14,233</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9,552</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10,490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1,500</w:t>
            </w:r>
          </w:p>
        </w:tc>
      </w:tr>
      <w:tr>
        <w:trPr>
          <w:trHeight w:val="20"/>
        </w:trPr>
        <w:tc>
          <w:tcPr>
            <w:tcW w:w="5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3580" w:type="dxa"/>
            <w:vAlign w:val="bottom"/>
            <w:gridSpan w:val="3"/>
          </w:tcPr>
          <w:p>
            <w:pPr>
              <w:jc w:val="right"/>
              <w:ind w:right="3160"/>
              <w:spacing w:after="0"/>
              <w:rPr>
                <w:sz w:val="20"/>
                <w:szCs w:val="20"/>
                <w:color w:val="auto"/>
              </w:rPr>
            </w:pPr>
            <w:r>
              <w:rPr>
                <w:rFonts w:ascii="Times New Roman" w:cs="Times New Roman" w:eastAsia="Times New Roman" w:hAnsi="Times New Roman"/>
                <w:sz w:val="18"/>
                <w:szCs w:val="18"/>
                <w:color w:val="auto"/>
              </w:rPr>
              <w:t>F-66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6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w w:val="99"/>
              </w:rPr>
              <w:t>List of Principal Subsidiaries of the Registrant</w:t>
            </w:r>
          </w:p>
        </w:tc>
        <w:tc>
          <w:tcPr>
            <w:tcW w:w="0" w:type="dxa"/>
            <w:vAlign w:val="bottom"/>
          </w:tcPr>
          <w:p>
            <w:pPr>
              <w:spacing w:after="0"/>
              <w:rPr>
                <w:sz w:val="1"/>
                <w:szCs w:val="1"/>
                <w:color w:val="auto"/>
              </w:rPr>
            </w:pPr>
          </w:p>
        </w:tc>
      </w:tr>
      <w:tr>
        <w:trPr>
          <w:trHeight w:val="392"/>
        </w:trPr>
        <w:tc>
          <w:tcPr>
            <w:tcW w:w="4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191"/>
        </w:trPr>
        <w:tc>
          <w:tcPr>
            <w:tcW w:w="7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BR Hong</w:t>
            </w:r>
          </w:p>
        </w:tc>
        <w:tc>
          <w:tcPr>
            <w:tcW w:w="4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Kong Limited Burning</w:t>
            </w:r>
          </w:p>
        </w:tc>
        <w:tc>
          <w:tcPr>
            <w:tcW w:w="860" w:type="dxa"/>
            <w:vAlign w:val="bottom"/>
          </w:tcPr>
          <w:p>
            <w:pPr>
              <w:spacing w:after="0"/>
              <w:rPr>
                <w:sz w:val="16"/>
                <w:szCs w:val="16"/>
                <w:color w:val="auto"/>
              </w:rPr>
            </w:pPr>
          </w:p>
        </w:tc>
        <w:tc>
          <w:tcPr>
            <w:tcW w:w="1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Hong Kong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Rock Dx LLC Beijing Burning</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The Unite States</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Rock Biotech Limited</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Guangzhou Burning Rock Biotech Limited</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364"/>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VIE</w:t>
            </w:r>
          </w:p>
        </w:tc>
        <w:tc>
          <w:tcPr>
            <w:tcW w:w="4620" w:type="dxa"/>
            <w:vAlign w:val="bottom"/>
            <w:gridSpan w:val="3"/>
          </w:tcPr>
          <w:p>
            <w:pPr>
              <w:spacing w:after="0"/>
              <w:rPr>
                <w:sz w:val="24"/>
                <w:szCs w:val="24"/>
                <w:color w:val="auto"/>
              </w:rPr>
            </w:pP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Burning Rock (Beijing) Biotechnology Co., Ltd.</w:t>
            </w:r>
          </w:p>
        </w:tc>
        <w:tc>
          <w:tcPr>
            <w:tcW w:w="860" w:type="dxa"/>
            <w:vAlign w:val="bottom"/>
            <w:vMerge w:val="continue"/>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4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 of the VIE</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191"/>
        </w:trPr>
        <w:tc>
          <w:tcPr>
            <w:tcW w:w="142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w w:val="95"/>
              </w:rPr>
              <w:t>Guangzhou Burning</w:t>
            </w:r>
          </w:p>
        </w:tc>
        <w:tc>
          <w:tcPr>
            <w:tcW w:w="34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Rock Biotechnology Co., Ltd.</w:t>
            </w:r>
          </w:p>
        </w:tc>
        <w:tc>
          <w:tcPr>
            <w:tcW w:w="860" w:type="dxa"/>
            <w:vAlign w:val="bottom"/>
          </w:tcPr>
          <w:p>
            <w:pPr>
              <w:spacing w:after="0"/>
              <w:rPr>
                <w:sz w:val="16"/>
                <w:szCs w:val="16"/>
                <w:color w:val="auto"/>
              </w:rPr>
            </w:pPr>
          </w:p>
        </w:tc>
        <w:tc>
          <w:tcPr>
            <w:tcW w:w="1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Guangzhou Burning Rock Medical Equipment Co., Ltd.</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Guangzhou Burning Rock Dx Co., Ltd.</w:t>
            </w: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Yusheng Han, certify that:</w:t>
      </w:r>
    </w:p>
    <w:p>
      <w:pPr>
        <w:spacing w:after="0" w:line="131" w:lineRule="exact"/>
        <w:rPr>
          <w:sz w:val="20"/>
          <w:szCs w:val="20"/>
          <w:color w:val="auto"/>
        </w:rPr>
      </w:pPr>
    </w:p>
    <w:p>
      <w:pPr>
        <w:ind w:left="960" w:hanging="532"/>
        <w:spacing w:after="0"/>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of Burning Rock Biotech Limited;</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60" w:hanging="532"/>
        <w:spacing w:after="0" w:line="312" w:lineRule="auto"/>
        <w:tabs>
          <w:tab w:leader="none" w:pos="9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112" w:lineRule="exact"/>
        <w:rPr>
          <w:rFonts w:ascii="Times New Roman" w:cs="Times New Roman" w:eastAsia="Times New Roman" w:hAnsi="Times New Roman"/>
          <w:sz w:val="17"/>
          <w:szCs w:val="17"/>
          <w:color w:val="auto"/>
        </w:rPr>
      </w:pPr>
    </w:p>
    <w:p>
      <w:pPr>
        <w:ind w:left="1420" w:right="40" w:hanging="439"/>
        <w:spacing w:after="0" w:line="266" w:lineRule="auto"/>
        <w:tabs>
          <w:tab w:leader="none" w:pos="14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right="80" w:hanging="439"/>
        <w:spacing w:after="0" w:line="266" w:lineRule="auto"/>
        <w:tabs>
          <w:tab w:leader="none" w:pos="14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0" w:hanging="439"/>
        <w:spacing w:after="0" w:line="266" w:lineRule="auto"/>
        <w:tabs>
          <w:tab w:leader="none" w:pos="14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Yusheng Han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Yusheng Han</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(principal executive officer)</w:t>
            </w:r>
          </w:p>
        </w:tc>
      </w:tr>
    </w:tbl>
    <w:p>
      <w:pPr>
        <w:sectPr>
          <w:pgSz w:w="11900" w:h="16838" w:orient="portrait"/>
          <w:cols w:equalWidth="0" w:num="1">
            <w:col w:w="11020"/>
          </w:cols>
          <w:pgMar w:left="440" w:top="117" w:right="4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Xiaozhou Hu, certify that:</w:t>
      </w:r>
    </w:p>
    <w:p>
      <w:pPr>
        <w:spacing w:after="0" w:line="131" w:lineRule="exact"/>
        <w:rPr>
          <w:sz w:val="20"/>
          <w:szCs w:val="20"/>
          <w:color w:val="auto"/>
        </w:rPr>
      </w:pPr>
    </w:p>
    <w:p>
      <w:pPr>
        <w:ind w:left="960" w:hanging="532"/>
        <w:spacing w:after="0"/>
        <w:tabs>
          <w:tab w:leader="none" w:pos="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of Burning Rock Biotech Limited;</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60" w:hanging="532"/>
        <w:spacing w:after="0" w:line="312" w:lineRule="auto"/>
        <w:tabs>
          <w:tab w:leader="none" w:pos="96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112" w:lineRule="exact"/>
        <w:rPr>
          <w:rFonts w:ascii="Times New Roman" w:cs="Times New Roman" w:eastAsia="Times New Roman" w:hAnsi="Times New Roman"/>
          <w:sz w:val="17"/>
          <w:szCs w:val="17"/>
          <w:color w:val="auto"/>
        </w:rPr>
      </w:pPr>
    </w:p>
    <w:p>
      <w:pPr>
        <w:ind w:left="1420" w:right="40" w:hanging="439"/>
        <w:spacing w:after="0" w:line="266" w:lineRule="auto"/>
        <w:tabs>
          <w:tab w:leader="none" w:pos="14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right="80" w:hanging="439"/>
        <w:spacing w:after="0" w:line="266" w:lineRule="auto"/>
        <w:tabs>
          <w:tab w:leader="none" w:pos="14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w:t>
      </w:r>
    </w:p>
    <w:p>
      <w:pPr>
        <w:spacing w:after="0" w:line="39" w:lineRule="exact"/>
        <w:rPr>
          <w:sz w:val="20"/>
          <w:szCs w:val="20"/>
          <w:color w:val="auto"/>
        </w:rPr>
      </w:pPr>
    </w:p>
    <w:p>
      <w:pPr>
        <w:ind w:left="1420" w:right="280"/>
        <w:spacing w:after="0" w:line="260" w:lineRule="auto"/>
        <w:rPr>
          <w:sz w:val="20"/>
          <w:szCs w:val="20"/>
          <w:color w:val="auto"/>
        </w:rPr>
      </w:pPr>
      <w:r>
        <w:rPr>
          <w:rFonts w:ascii="Times New Roman" w:cs="Times New Roman" w:eastAsia="Times New Roman" w:hAnsi="Times New Roman"/>
          <w:sz w:val="18"/>
          <w:szCs w:val="18"/>
          <w:color w:val="auto"/>
        </w:rPr>
        <w:t>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left="960" w:right="300" w:hanging="532"/>
        <w:spacing w:after="0" w:line="266" w:lineRule="auto"/>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Xiaozhi Hu</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Xiaozhi Hu</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(principal financial</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020"/>
          </w:cols>
          <w:pgMar w:left="440" w:top="117" w:right="4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Annual Report of Burning Rock Biotech Limited (the “Company”) on Form 20-F for the fiscal year ended December 31,</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2025 as filed with the Securities and Exchange Commission on the date hereof (the “Report”), I, Yusheng Han, Chairman of the Board of Directors and Chief Executive Officer of the Company, hereby certify, pursuant to 18 U.S.C.§ 1350, as adopted pursuant to Section 906 of the Sarbanes-Oxley Act of 2002, that to the best of my knowledge:</w:t>
      </w:r>
    </w:p>
    <w:p>
      <w:pPr>
        <w:spacing w:after="0" w:line="91" w:lineRule="exact"/>
        <w:rPr>
          <w:sz w:val="20"/>
          <w:szCs w:val="20"/>
          <w:color w:val="auto"/>
        </w:rPr>
      </w:pPr>
    </w:p>
    <w:p>
      <w:pPr>
        <w:ind w:left="960" w:hanging="532"/>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Yusheng Han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Yusheng Han</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(principal executive officer)</w:t>
            </w:r>
          </w:p>
        </w:tc>
      </w:tr>
    </w:tbl>
    <w:p>
      <w:pPr>
        <w:sectPr>
          <w:pgSz w:w="11900" w:h="16838" w:orient="portrait"/>
          <w:cols w:equalWidth="0" w:num="1">
            <w:col w:w="11020"/>
          </w:cols>
          <w:pgMar w:left="440" w:top="117" w:right="4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Burning Rock Biotech Limited (the “Company”) on Form 20-F for the fiscal year ended December 31, 2025 as filed with the Securities and Exchange Commission on the date hereof (the “Report”), I, Xiaozhi Hu, vice president of finance of the Company, hereby certify, pursuant to 18 U.S.C.§ 1350, as adopted pursuant to Section 906 of the Sarbanes-Oxley Act of 2002, that to the best of my knowledge:</w:t>
      </w:r>
    </w:p>
    <w:p>
      <w:pPr>
        <w:spacing w:after="0" w:line="63" w:lineRule="exact"/>
        <w:rPr>
          <w:sz w:val="20"/>
          <w:szCs w:val="20"/>
          <w:color w:val="auto"/>
        </w:rPr>
      </w:pPr>
    </w:p>
    <w:p>
      <w:pPr>
        <w:ind w:left="960" w:hanging="532"/>
        <w:spacing w:after="0"/>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Xiaozhi Hu</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Xiaozhi Hu</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(principal financial</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020"/>
          </w:cols>
          <w:pgMar w:left="440" w:top="117" w:right="4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31" w:lineRule="exact"/>
        <w:rPr>
          <w:sz w:val="20"/>
          <w:szCs w:val="20"/>
          <w:color w:val="auto"/>
        </w:rPr>
      </w:pPr>
    </w:p>
    <w:p>
      <w:pPr>
        <w:ind w:left="960" w:right="520" w:hanging="532"/>
        <w:spacing w:after="0" w:line="266" w:lineRule="auto"/>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333-251191) pertaining to the Pre-IPO Share Incentive Plan, 2020 Equity Incentive Plan, Management Share Incentive Plan, Employee Share Incentive Plan No.1 and Employee Share Incentive Plan No. 2 of Burning Rock Biotech Limited,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333-264577) of Burning Rock Biotech Limited;</w:t>
      </w:r>
    </w:p>
    <w:p>
      <w:pPr>
        <w:spacing w:after="0" w:line="117" w:lineRule="exact"/>
        <w:rPr>
          <w:rFonts w:ascii="Times New Roman" w:cs="Times New Roman" w:eastAsia="Times New Roman" w:hAnsi="Times New Roman"/>
          <w:sz w:val="18"/>
          <w:szCs w:val="18"/>
          <w:color w:val="auto"/>
        </w:rPr>
      </w:pPr>
    </w:p>
    <w:p>
      <w:pPr>
        <w:ind w:left="98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report dated April 28, 2026, with respect to the consolidated financial statements of Burning Rock Biotech Limited included in this Annual Report (Form 20-F)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ectPr>
          <w:pgSz w:w="11900" w:h="16838" w:orient="portrait"/>
          <w:cols w:equalWidth="0" w:num="1">
            <w:col w:w="11020"/>
          </w:cols>
          <w:pgMar w:left="440" w:top="117" w:right="4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173990</wp:posOffset>
            </wp:positionV>
            <wp:extent cx="3154680" cy="5657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31546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5, Xingdao Ring Road North, International Bio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510005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CONSENT OF SHIHUI PARTNERS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hereby consent to the use of our name under the headings “ITEM 3. KEYINFORMATION—Risks Associated with Being Based in or Having the Majority of the Operations in China”, “ITEM 3. KEY INFORMATION-D. Risk Factors-Risks Relating to Government Regulations”, “ITEM 3. KEYINFORMATION—D. Risk Factors – Risks Relating to Our Corporate Structure”, “ITEM 3. KEY INFORMATION-D. Risk Factors-Risks Relating to Doing Business in the PRC”, “Item 4. Information on the Company—C. Organizational Structure” in the Company’s annual report on Form 20-F for the year ended December 31, 2025 (the “Annual Report”), which will be filed with the Securities and Exchange Commission (the “SEC”) in the month of April of 2026.We also consent to the filing of this consent letter with the SEC as an exhibit to the Annual Report.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are “experts” or otherwise come within the category of persons whose consent is required under Section 7 of the Securities Act of 1933, or under the Securities Exchange Act of 1934, in each case, as amended, or the regulations promulgated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Shihui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Shihui Partners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1)"/>
      <w:numFmt w:val="decimal"/>
      <w:start w:val="1"/>
    </w:lvl>
  </w:abstractNum>
  <w:abstractNum w:abstractNumId="8">
    <w:nsid w:val="14E17E33"/>
    <w:multiLevelType w:val="hybridMultilevel"/>
    <w:lvl w:ilvl="0">
      <w:lvlJc w:val="left"/>
      <w:lvlText w:val="(%1)"/>
      <w:numFmt w:val="decimal"/>
      <w:start w:val="3"/>
    </w:lvl>
  </w:abstractNum>
  <w:abstractNum w:abstractNumId="9">
    <w:nsid w:val="3222E7CD"/>
    <w:multiLevelType w:val="hybridMultilevel"/>
    <w:lvl w:ilvl="0">
      <w:lvlJc w:val="left"/>
      <w:lvlText w:val="%1."/>
      <w:numFmt w:val="upperLetter"/>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1)"/>
      <w:numFmt w:val="lowerRoman"/>
      <w:start w:val="4"/>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1)"/>
      <w:numFmt w:val="decimal"/>
      <w:start w:val="1"/>
    </w:lvl>
  </w:abstractNum>
  <w:abstractNum w:abstractNumId="33">
    <w:nsid w:val="5F3534A4"/>
    <w:multiLevelType w:val="hybridMultilevel"/>
    <w:lvl w:ilvl="0">
      <w:lvlJc w:val="left"/>
      <w:lvlText w:val="(%1)"/>
      <w:numFmt w:val="decimal"/>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1)"/>
      <w:numFmt w:val="decimal"/>
      <w:start w:val="4"/>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1)"/>
      <w:numFmt w:val="decimal"/>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1."/>
      <w:numFmt w:val="decimal"/>
      <w:start w:val="3"/>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lowerRoman"/>
      <w:start w:val="1"/>
    </w:lvl>
  </w:abstractNum>
  <w:abstractNum w:abstractNumId="42">
    <w:nsid w:val="53299938"/>
    <w:multiLevelType w:val="hybridMultilevel"/>
    <w:lvl w:ilvl="0">
      <w:lvlJc w:val="left"/>
      <w:lvlText w:val="(%1)"/>
      <w:numFmt w:val="decimal"/>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
      <w:numFmt w:val="bullet"/>
      <w:start w:val="1"/>
    </w:lvl>
  </w:abstractNum>
  <w:abstractNum w:abstractNumId="45">
    <w:nsid w:val="1D545C4D"/>
    <w:multiLevelType w:val="hybridMultilevel"/>
    <w:lvl w:ilvl="0">
      <w:lvlJc w:val="left"/>
      <w:lvlText w:val="•"/>
      <w:numFmt w:val="bullet"/>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
      <w:numFmt w:val="bullet"/>
      <w:start w:val="1"/>
    </w:lvl>
  </w:abstractNum>
  <w:abstractNum w:abstractNumId="48">
    <w:nsid w:val="2A155DBC"/>
    <w:multiLevelType w:val="hybridMultilevel"/>
    <w:lvl w:ilvl="0">
      <w:lvlJc w:val="left"/>
      <w:lvlText w:val="(%1)"/>
      <w:numFmt w:val="lowerRoman"/>
      <w:start w:val="1"/>
    </w:lvl>
  </w:abstractNum>
  <w:abstractNum w:abstractNumId="49">
    <w:nsid w:val="1D9F6E5F"/>
    <w:multiLevelType w:val="hybridMultilevel"/>
    <w:lvl w:ilvl="0">
      <w:lvlJc w:val="left"/>
      <w:lvlText w:val="(%1)"/>
      <w:numFmt w:val="lowerRoman"/>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1)"/>
      <w:numFmt w:val="lowerRoman"/>
      <w:start w:val="1"/>
    </w:lvl>
  </w:abstractNum>
  <w:abstractNum w:abstractNumId="56">
    <w:nsid w:val="23D86AAC"/>
    <w:multiLevelType w:val="hybridMultilevel"/>
    <w:lvl w:ilvl="0">
      <w:lvlJc w:val="left"/>
      <w:lvlText w:val="(%1)"/>
      <w:numFmt w:val="lowerRoman"/>
      <w:start w:val="1"/>
    </w:lvl>
  </w:abstractNum>
  <w:abstractNum w:abstractNumId="57">
    <w:nsid w:val="45E6D486"/>
    <w:multiLevelType w:val="hybridMultilevel"/>
    <w:lvl w:ilvl="0">
      <w:lvlJc w:val="left"/>
      <w:lvlText w:val="(%1)"/>
      <w:numFmt w:val="lowerRoman"/>
      <w:start w:val="5"/>
    </w:lvl>
  </w:abstractNum>
  <w:abstractNum w:abstractNumId="58">
    <w:nsid w:val="5C10FE21"/>
    <w:multiLevelType w:val="hybridMultilevel"/>
    <w:lvl w:ilvl="0">
      <w:lvlJc w:val="left"/>
      <w:lvlText w:val="(%1)"/>
      <w:numFmt w:val="lowerRoman"/>
      <w:start w:val="2"/>
    </w:lvl>
  </w:abstractNum>
  <w:abstractNum w:abstractNumId="59">
    <w:nsid w:val="E7FFA2B"/>
    <w:multiLevelType w:val="hybridMultilevel"/>
    <w:lvl w:ilvl="0">
      <w:lvlJc w:val="left"/>
      <w:lvlText w:val="(%1)"/>
      <w:numFmt w:val="lowerRoman"/>
      <w:start w:val="2"/>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decimal"/>
      <w:start w:val="1"/>
    </w:lvl>
  </w:abstractNum>
  <w:abstractNum w:abstractNumId="63">
    <w:nsid w:val="39B7AAA2"/>
    <w:multiLevelType w:val="hybridMultilevel"/>
    <w:lvl w:ilvl="0">
      <w:lvlJc w:val="left"/>
      <w:lvlText w:val="%1)"/>
      <w:numFmt w:val="decimal"/>
      <w:start w:val="1"/>
    </w:lvl>
  </w:abstractNum>
  <w:abstractNum w:abstractNumId="64">
    <w:nsid w:val="2B0D8DBE"/>
    <w:multiLevelType w:val="hybridMultilevel"/>
    <w:lvl w:ilvl="0">
      <w:lvlJc w:val="left"/>
      <w:lvlText w:val="•"/>
      <w:numFmt w:val="bullet"/>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
      <w:numFmt w:val="bullet"/>
      <w:start w:val="1"/>
    </w:lvl>
  </w:abstractNum>
  <w:abstractNum w:abstractNumId="67">
    <w:nsid w:val="69E373"/>
    <w:multiLevelType w:val="hybridMultilevel"/>
    <w:lvl w:ilvl="0">
      <w:lvlJc w:val="left"/>
      <w:lvlText w:val="•"/>
      <w:numFmt w:val="bullet"/>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
      <w:numFmt w:val="bullet"/>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1)"/>
      <w:numFmt w:val="decimal"/>
      <w:start w:val="1"/>
    </w:lvl>
  </w:abstractNum>
  <w:abstractNum w:abstractNumId="74">
    <w:nsid w:val="3DB012B3"/>
    <w:multiLevelType w:val="hybridMultilevel"/>
    <w:lvl w:ilvl="0">
      <w:lvlJc w:val="left"/>
      <w:lvlText w:val="(%1)"/>
      <w:numFmt w:val="decimal"/>
      <w:start w:val="4"/>
    </w:lvl>
  </w:abstractNum>
  <w:abstractNum w:abstractNumId="75">
    <w:nsid w:val="2708C9AF"/>
    <w:multiLevelType w:val="hybridMultilevel"/>
    <w:lvl w:ilvl="0">
      <w:lvlJc w:val="left"/>
      <w:lvlText w:val="(%1)"/>
      <w:numFmt w:val="lowerRoman"/>
      <w:start w:val="2"/>
    </w:lvl>
  </w:abstractNum>
  <w:abstractNum w:abstractNumId="76">
    <w:nsid w:val="5B25ACE2"/>
    <w:multiLevelType w:val="hybridMultilevel"/>
    <w:lvl w:ilvl="0">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
      <w:numFmt w:val="bullet"/>
      <w:start w:val="1"/>
    </w:lvl>
  </w:abstractNum>
  <w:abstractNum w:abstractNumId="79">
    <w:nsid w:val="53B0A9E"/>
    <w:multiLevelType w:val="hybridMultilevel"/>
    <w:lvl w:ilvl="0">
      <w:lvlJc w:val="left"/>
      <w:lvlText w:val="•"/>
      <w:numFmt w:val="bullet"/>
      <w:start w:val="1"/>
    </w:lvl>
  </w:abstractNum>
  <w:abstractNum w:abstractNumId="80">
    <w:nsid w:val="34FD6B4F"/>
    <w:multiLevelType w:val="hybridMultilevel"/>
    <w:lvl w:ilvl="0">
      <w:lvlJc w:val="left"/>
      <w:lvlText w:val="•"/>
      <w:numFmt w:val="bullet"/>
      <w:start w:val="1"/>
    </w:lvl>
  </w:abstractNum>
  <w:abstractNum w:abstractNumId="81">
    <w:nsid w:val="5915FF32"/>
    <w:multiLevelType w:val="hybridMultilevel"/>
    <w:lvl w:ilvl="0">
      <w:lvlJc w:val="left"/>
      <w:lvlText w:val="(%1)"/>
      <w:numFmt w:val="lowerLetter"/>
      <w:start w:val="1"/>
    </w:lvl>
  </w:abstractNum>
  <w:abstractNum w:abstractNumId="82">
    <w:nsid w:val="56438D15"/>
    <w:multiLevelType w:val="hybridMultilevel"/>
    <w:lvl w:ilvl="0">
      <w:lvlJc w:val="left"/>
      <w:lvlText w:val="•"/>
      <w:numFmt w:val="bullet"/>
      <w:start w:val="1"/>
    </w:lvl>
  </w:abstractNum>
  <w:abstractNum w:abstractNumId="83">
    <w:nsid w:val="519E3149"/>
    <w:multiLevelType w:val="hybridMultilevel"/>
    <w:lvl w:ilvl="0">
      <w:lvlJc w:val="left"/>
      <w:lvlText w:val="•"/>
      <w:numFmt w:val="bullet"/>
      <w:start w:val="1"/>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
      <w:numFmt w:val="bullet"/>
      <w:start w:val="1"/>
    </w:lvl>
  </w:abstractNum>
  <w:abstractNum w:abstractNumId="86">
    <w:nsid w:val="4DF72E4E"/>
    <w:multiLevelType w:val="hybridMultilevel"/>
    <w:lvl w:ilvl="0">
      <w:lvlJc w:val="left"/>
      <w:lvlText w:val="(%1)"/>
      <w:numFmt w:val="decimal"/>
      <w:start w:val="1"/>
    </w:lvl>
  </w:abstractNum>
  <w:abstractNum w:abstractNumId="87">
    <w:nsid w:val="5046B5A9"/>
    <w:multiLevelType w:val="hybridMultilevel"/>
    <w:lvl w:ilvl="0">
      <w:lvlJc w:val="left"/>
      <w:lvlText w:val="•"/>
      <w:numFmt w:val="bullet"/>
      <w:start w:val="1"/>
    </w:lvl>
  </w:abstractNum>
  <w:abstractNum w:abstractNumId="88">
    <w:nsid w:val="5D888A08"/>
    <w:multiLevelType w:val="hybridMultilevel"/>
    <w:lvl w:ilvl="0">
      <w:lvlJc w:val="left"/>
      <w:lvlText w:val="•"/>
      <w:numFmt w:val="bullet"/>
      <w:start w:val="1"/>
    </w:lvl>
  </w:abstractNum>
  <w:abstractNum w:abstractNumId="89">
    <w:nsid w:val="2A082C70"/>
    <w:multiLevelType w:val="hybridMultilevel"/>
    <w:lvl w:ilvl="0">
      <w:lvlJc w:val="left"/>
      <w:lvlText w:val="*"/>
      <w:numFmt w:val="bullet"/>
      <w:start w:val="1"/>
    </w:lvl>
  </w:abstractNum>
  <w:abstractNum w:abstractNumId="90">
    <w:nsid w:val="5EC6AFD4"/>
    <w:multiLevelType w:val="hybridMultilevel"/>
    <w:lvl w:ilvl="0">
      <w:lvlJc w:val="left"/>
      <w:lvlText w:val="**"/>
      <w:numFmt w:val="bullet"/>
      <w:start w:val="1"/>
    </w:lvl>
  </w:abstractNum>
  <w:abstractNum w:abstractNumId="91">
    <w:nsid w:val="19E21BB2"/>
    <w:multiLevelType w:val="hybridMultilevel"/>
    <w:lvl w:ilvl="0">
      <w:lvlJc w:val="left"/>
      <w:lvlText w:val="(%1)"/>
      <w:numFmt w:val="decimal"/>
      <w:start w:val="2"/>
    </w:lvl>
  </w:abstractNum>
  <w:abstractNum w:abstractNumId="92">
    <w:nsid w:val="75E0858A"/>
    <w:multiLevelType w:val="hybridMultilevel"/>
    <w:lvl w:ilvl="0">
      <w:lvlJc w:val="left"/>
      <w:lvlText w:val="%1."/>
      <w:numFmt w:val="decimal"/>
      <w:start w:val="1"/>
    </w:lvl>
  </w:abstractNum>
  <w:abstractNum w:abstractNumId="93">
    <w:nsid w:val="57A61A29"/>
    <w:multiLevelType w:val="hybridMultilevel"/>
    <w:lvl w:ilvl="0">
      <w:lvlJc w:val="left"/>
      <w:lvlText w:val="%1."/>
      <w:numFmt w:val="decimal"/>
      <w:start w:val="1"/>
    </w:lvl>
  </w:abstractNum>
  <w:abstractNum w:abstractNumId="94">
    <w:nsid w:val="5399C654"/>
    <w:multiLevelType w:val="hybridMultilevel"/>
    <w:lvl w:ilvl="0">
      <w:lvlJc w:val="left"/>
      <w:lvlText w:val="%1."/>
      <w:numFmt w:val="decimal"/>
      <w:start w:val="1"/>
    </w:lvl>
  </w:abstractNum>
  <w:abstractNum w:abstractNumId="95">
    <w:nsid w:val="20EE1348"/>
    <w:multiLevelType w:val="hybridMultilevel"/>
    <w:lvl w:ilvl="0">
      <w:lvlJc w:val="left"/>
      <w:lvlText w:val="(%1)"/>
      <w:numFmt w:val="decimal"/>
      <w:start w:val="1"/>
    </w:lvl>
  </w:abstractNum>
  <w:abstractNum w:abstractNumId="96">
    <w:nsid w:val="4427069A"/>
    <w:multiLevelType w:val="hybridMultilevel"/>
    <w:lvl w:ilvl="0">
      <w:lvlJc w:val="left"/>
      <w:lvlText w:val="•"/>
      <w:numFmt w:val="bullet"/>
      <w:start w:val="1"/>
    </w:lvl>
  </w:abstractNum>
  <w:abstractNum w:abstractNumId="97">
    <w:nsid w:val="B37E80A"/>
    <w:multiLevelType w:val="hybridMultilevel"/>
    <w:lvl w:ilvl="0">
      <w:lvlJc w:val="left"/>
      <w:lvlText w:val="(%1)"/>
      <w:numFmt w:val="decimal"/>
      <w:start w:val="2"/>
    </w:lvl>
  </w:abstractNum>
  <w:abstractNum w:abstractNumId="98">
    <w:nsid w:val="2157F6BC"/>
    <w:multiLevelType w:val="hybridMultilevel"/>
    <w:lvl w:ilvl="0">
      <w:lvlJc w:val="left"/>
      <w:lvlText w:val="•"/>
      <w:numFmt w:val="bullet"/>
      <w:start w:val="1"/>
    </w:lvl>
  </w:abstractNum>
  <w:abstractNum w:abstractNumId="99">
    <w:nsid w:val="704E1DD5"/>
    <w:multiLevelType w:val="hybridMultilevel"/>
    <w:lvl w:ilvl="0">
      <w:lvlJc w:val="left"/>
      <w:lvlText w:val="%1."/>
      <w:numFmt w:val="decimal"/>
      <w:start w:val="1"/>
    </w:lvl>
  </w:abstractNum>
  <w:abstractNum w:abstractNumId="100">
    <w:nsid w:val="57D2F10E"/>
    <w:multiLevelType w:val="hybridMultilevel"/>
    <w:lvl w:ilvl="0">
      <w:lvlJc w:val="left"/>
      <w:lvlText w:val="(%1)"/>
      <w:numFmt w:val="decimal"/>
      <w:start w:val="3"/>
    </w:lvl>
  </w:abstractNum>
  <w:abstractNum w:abstractNumId="101">
    <w:nsid w:val="BFFAE18"/>
    <w:multiLevelType w:val="hybridMultilevel"/>
    <w:lvl w:ilvl="0">
      <w:lvlJc w:val="left"/>
      <w:lvlText w:val="•"/>
      <w:numFmt w:val="bullet"/>
      <w:start w:val="1"/>
    </w:lvl>
  </w:abstractNum>
  <w:abstractNum w:abstractNumId="102">
    <w:nsid w:val="E3E47A8"/>
    <w:multiLevelType w:val="hybridMultilevel"/>
    <w:lvl w:ilvl="0">
      <w:lvlJc w:val="left"/>
      <w:lvlText w:val="(%1)"/>
      <w:numFmt w:val="decimal"/>
      <w:start w:val="4"/>
    </w:lvl>
  </w:abstractNum>
  <w:abstractNum w:abstractNumId="103">
    <w:nsid w:val="2E48F044"/>
    <w:multiLevelType w:val="hybridMultilevel"/>
    <w:lvl w:ilvl="0">
      <w:lvlJc w:val="left"/>
      <w:lvlText w:val="•"/>
      <w:numFmt w:val="bullet"/>
      <w:start w:val="1"/>
    </w:lvl>
  </w:abstractNum>
  <w:abstractNum w:abstractNumId="104">
    <w:nsid w:val="49D0FEAC"/>
    <w:multiLevelType w:val="hybridMultilevel"/>
    <w:lvl w:ilvl="0">
      <w:lvlJc w:val="left"/>
      <w:lvlText w:val="(%1)"/>
      <w:numFmt w:val="decimal"/>
      <w:start w:val="5"/>
    </w:lvl>
  </w:abstractNum>
  <w:abstractNum w:abstractNumId="105">
    <w:nsid w:val="4BEE5A5B"/>
    <w:multiLevelType w:val="hybridMultilevel"/>
    <w:lvl w:ilvl="0">
      <w:lvlJc w:val="left"/>
      <w:lvlText w:val="•"/>
      <w:numFmt w:val="bullet"/>
      <w:start w:val="1"/>
    </w:lvl>
  </w:abstractNum>
  <w:abstractNum w:abstractNumId="106">
    <w:nsid w:val="5551B9F3"/>
    <w:multiLevelType w:val="hybridMultilevel"/>
    <w:lvl w:ilvl="0">
      <w:lvlJc w:val="left"/>
      <w:lvlText w:val="%1."/>
      <w:numFmt w:val="decimal"/>
      <w:start w:val="1"/>
    </w:lvl>
  </w:abstractNum>
  <w:abstractNum w:abstractNumId="107">
    <w:nsid w:val="24F6AB8E"/>
    <w:multiLevelType w:val="hybridMultilevel"/>
    <w:lvl w:ilvl="0">
      <w:lvlJc w:val="left"/>
      <w:lvlText w:val="(%1)"/>
      <w:numFmt w:val="lowerRoman"/>
      <w:start w:val="2"/>
    </w:lvl>
  </w:abstractNum>
  <w:abstractNum w:abstractNumId="108">
    <w:nsid w:val="634C574C"/>
    <w:multiLevelType w:val="hybridMultilevel"/>
    <w:lvl w:ilvl="0">
      <w:lvlJc w:val="left"/>
      <w:lvlText w:val="%1."/>
      <w:numFmt w:val="decimal"/>
      <w:start w:val="1"/>
    </w:lvl>
  </w:abstractNum>
  <w:abstractNum w:abstractNumId="109">
    <w:nsid w:val="24E99DD7"/>
    <w:multiLevelType w:val="hybridMultilevel"/>
    <w:lvl w:ilvl="0">
      <w:lvlJc w:val="left"/>
      <w:lvlText w:val="*"/>
      <w:numFmt w:val="bullet"/>
      <w:start w:val="1"/>
    </w:lvl>
  </w:abstractNum>
  <w:abstractNum w:abstractNumId="110">
    <w:nsid w:val="2A31B62D"/>
    <w:multiLevelType w:val="hybridMultilevel"/>
    <w:lvl w:ilvl="0">
      <w:lvlJc w:val="left"/>
      <w:lvlText w:val="%1."/>
      <w:numFmt w:val="decimal"/>
      <w:start w:val="1"/>
    </w:lvl>
  </w:abstractNum>
  <w:abstractNum w:abstractNumId="111">
    <w:nsid w:val="1849C29B"/>
    <w:multiLevelType w:val="hybridMultilevel"/>
    <w:lvl w:ilvl="0">
      <w:lvlJc w:val="left"/>
      <w:lvlText w:val="%1."/>
      <w:numFmt w:val="decimal"/>
      <w:start w:val="2"/>
    </w:lvl>
  </w:abstractNum>
  <w:abstractNum w:abstractNumId="112">
    <w:nsid w:val="7DFF9D09"/>
    <w:multiLevelType w:val="hybridMultilevel"/>
    <w:lvl w:ilvl="0">
      <w:lvlJc w:val="left"/>
      <w:lvlText w:val="%1."/>
      <w:numFmt w:val="decimal"/>
      <w:start w:val="2"/>
    </w:lvl>
  </w:abstractNum>
  <w:abstractNum w:abstractNumId="113">
    <w:nsid w:val="754342"/>
    <w:multiLevelType w:val="hybridMultilevel"/>
    <w:lvl w:ilvl="0">
      <w:lvlJc w:val="left"/>
      <w:lvlText w:val="%1."/>
      <w:numFmt w:val="decimal"/>
      <w:start w:val="2"/>
    </w:lvl>
  </w:abstractNum>
  <w:abstractNum w:abstractNumId="114">
    <w:nsid w:val="69E7F3E5"/>
    <w:multiLevelType w:val="hybridMultilevel"/>
    <w:lvl w:ilvl="0">
      <w:lvlJc w:val="left"/>
      <w:lvlText w:val="%1."/>
      <w:numFmt w:val="decimal"/>
      <w:start w:val="2"/>
    </w:lvl>
  </w:abstractNum>
  <w:abstractNum w:abstractNumId="115">
    <w:nsid w:val="2A6DE806"/>
    <w:multiLevelType w:val="hybridMultilevel"/>
    <w:lvl w:ilvl="0">
      <w:lvlJc w:val="left"/>
      <w:lvlText w:val="%1."/>
      <w:numFmt w:val="decimal"/>
      <w:start w:val="2"/>
    </w:lvl>
  </w:abstractNum>
  <w:abstractNum w:abstractNumId="116">
    <w:nsid w:val="1816F8C4"/>
    <w:multiLevelType w:val="hybridMultilevel"/>
    <w:lvl w:ilvl="0">
      <w:lvlJc w:val="left"/>
      <w:lvlText w:val="%1."/>
      <w:numFmt w:val="decimal"/>
      <w:start w:val="2"/>
    </w:lvl>
  </w:abstractNum>
  <w:abstractNum w:abstractNumId="117">
    <w:nsid w:val="37DF2233"/>
    <w:multiLevelType w:val="hybridMultilevel"/>
    <w:lvl w:ilvl="0">
      <w:lvlJc w:val="left"/>
      <w:lvlText w:val="%1."/>
      <w:numFmt w:val="decimal"/>
      <w:start w:val="2"/>
    </w:lvl>
  </w:abstractNum>
  <w:abstractNum w:abstractNumId="118">
    <w:nsid w:val="7AB49DAF"/>
    <w:multiLevelType w:val="hybridMultilevel"/>
    <w:lvl w:ilvl="0">
      <w:lvlJc w:val="left"/>
      <w:lvlText w:val="%1."/>
      <w:numFmt w:val="decimal"/>
      <w:start w:val="2"/>
    </w:lvl>
  </w:abstractNum>
  <w:abstractNum w:abstractNumId="119">
    <w:nsid w:val="759F82CD"/>
    <w:multiLevelType w:val="hybridMultilevel"/>
    <w:lvl w:ilvl="0">
      <w:lvlJc w:val="left"/>
      <w:lvlText w:val="%1."/>
      <w:numFmt w:val="decimal"/>
      <w:start w:val="2"/>
    </w:lvl>
  </w:abstractNum>
  <w:abstractNum w:abstractNumId="120">
    <w:nsid w:val="61E74EA3"/>
    <w:multiLevelType w:val="hybridMultilevel"/>
    <w:lvl w:ilvl="0">
      <w:lvlJc w:val="left"/>
      <w:lvlText w:val="%1."/>
      <w:numFmt w:val="decimal"/>
      <w:start w:val="2"/>
    </w:lvl>
  </w:abstractNum>
  <w:abstractNum w:abstractNumId="121">
    <w:nsid w:val="597B4D84"/>
    <w:multiLevelType w:val="hybridMultilevel"/>
    <w:lvl w:ilvl="0">
      <w:lvlJc w:val="left"/>
      <w:lvlText w:val="%1."/>
      <w:numFmt w:val="decimal"/>
      <w:start w:val="2"/>
    </w:lvl>
  </w:abstractNum>
  <w:abstractNum w:abstractNumId="122">
    <w:nsid w:val="F819E7F"/>
    <w:multiLevelType w:val="hybridMultilevel"/>
    <w:lvl w:ilvl="0">
      <w:lvlJc w:val="left"/>
      <w:lvlText w:val="%1."/>
      <w:numFmt w:val="decimal"/>
      <w:start w:val="2"/>
    </w:lvl>
  </w:abstractNum>
  <w:abstractNum w:abstractNumId="123">
    <w:nsid w:val="57C7D42D"/>
    <w:multiLevelType w:val="hybridMultilevel"/>
    <w:lvl w:ilvl="0">
      <w:lvlJc w:val="left"/>
      <w:lvlText w:val="%1."/>
      <w:numFmt w:val="decimal"/>
      <w:start w:val="2"/>
    </w:lvl>
  </w:abstractNum>
  <w:abstractNum w:abstractNumId="124">
    <w:nsid w:val="312167AD"/>
    <w:multiLevelType w:val="hybridMultilevel"/>
    <w:lvl w:ilvl="0">
      <w:lvlJc w:val="left"/>
      <w:lvlText w:val="%1."/>
      <w:numFmt w:val="decimal"/>
      <w:start w:val="2"/>
    </w:lvl>
  </w:abstractNum>
  <w:abstractNum w:abstractNumId="125">
    <w:nsid w:val="631B64D4"/>
    <w:multiLevelType w:val="hybridMultilevel"/>
    <w:lvl w:ilvl="0">
      <w:lvlJc w:val="left"/>
      <w:lvlText w:val="%1."/>
      <w:numFmt w:val="decimal"/>
      <w:start w:val="2"/>
    </w:lvl>
  </w:abstractNum>
  <w:abstractNum w:abstractNumId="126">
    <w:nsid w:val="78B5E776"/>
    <w:multiLevelType w:val="hybridMultilevel"/>
    <w:lvl w:ilvl="0">
      <w:lvlJc w:val="left"/>
      <w:lvlText w:val="%1."/>
      <w:numFmt w:val="decimal"/>
      <w:start w:val="2"/>
    </w:lvl>
  </w:abstractNum>
  <w:abstractNum w:abstractNumId="127">
    <w:nsid w:val="75486E47"/>
    <w:multiLevelType w:val="hybridMultilevel"/>
    <w:lvl w:ilvl="0">
      <w:lvlJc w:val="left"/>
      <w:lvlText w:val="%1."/>
      <w:numFmt w:val="decimal"/>
      <w:start w:val="2"/>
    </w:lvl>
  </w:abstractNum>
  <w:abstractNum w:abstractNumId="128">
    <w:nsid w:val="6E534CDE"/>
    <w:multiLevelType w:val="hybridMultilevel"/>
    <w:lvl w:ilvl="0">
      <w:lvlJc w:val="left"/>
      <w:lvlText w:val="%1."/>
      <w:numFmt w:val="decimal"/>
      <w:start w:val="2"/>
    </w:lvl>
  </w:abstractNum>
  <w:abstractNum w:abstractNumId="129">
    <w:nsid w:val="1A0DDE32"/>
    <w:multiLevelType w:val="hybridMultilevel"/>
    <w:lvl w:ilvl="0">
      <w:lvlJc w:val="left"/>
      <w:lvlText w:val="(%1)"/>
      <w:numFmt w:val="decimal"/>
      <w:start w:val="1"/>
    </w:lvl>
  </w:abstractNum>
  <w:abstractNum w:abstractNumId="130">
    <w:nsid w:val="65968C1C"/>
    <w:multiLevelType w:val="hybridMultilevel"/>
    <w:lvl w:ilvl="0">
      <w:lvlJc w:val="left"/>
      <w:lvlText w:val="%1."/>
      <w:numFmt w:val="decimal"/>
      <w:start w:val="3"/>
    </w:lvl>
  </w:abstractNum>
  <w:abstractNum w:abstractNumId="131">
    <w:nsid w:val="46263DEC"/>
    <w:multiLevelType w:val="hybridMultilevel"/>
    <w:lvl w:ilvl="0">
      <w:lvlJc w:val="left"/>
      <w:lvlText w:val="%1."/>
      <w:numFmt w:val="decimal"/>
      <w:start w:val="3"/>
    </w:lvl>
  </w:abstractNum>
  <w:abstractNum w:abstractNumId="132">
    <w:nsid w:val="260D8C4A"/>
    <w:multiLevelType w:val="hybridMultilevel"/>
    <w:lvl w:ilvl="0">
      <w:lvlJc w:val="left"/>
      <w:lvlText w:val="%1."/>
      <w:numFmt w:val="decimal"/>
      <w:start w:val="3"/>
    </w:lvl>
  </w:abstractNum>
  <w:abstractNum w:abstractNumId="133">
    <w:nsid w:val="73D4D3C4"/>
    <w:multiLevelType w:val="hybridMultilevel"/>
    <w:lvl w:ilvl="0">
      <w:lvlJc w:val="left"/>
      <w:lvlText w:val="%1."/>
      <w:numFmt w:val="decimal"/>
      <w:start w:val="3"/>
    </w:lvl>
  </w:abstractNum>
  <w:abstractNum w:abstractNumId="134">
    <w:nsid w:val="746F2E30"/>
    <w:multiLevelType w:val="hybridMultilevel"/>
    <w:lvl w:ilvl="0">
      <w:lvlJc w:val="left"/>
      <w:lvlText w:val="%1."/>
      <w:numFmt w:val="decimal"/>
      <w:start w:val="4"/>
    </w:lvl>
  </w:abstractNum>
  <w:abstractNum w:abstractNumId="135">
    <w:nsid w:val="6FDE8AF6"/>
    <w:multiLevelType w:val="hybridMultilevel"/>
    <w:lvl w:ilvl="0">
      <w:lvlJc w:val="left"/>
      <w:lvlText w:val="%1."/>
      <w:numFmt w:val="decimal"/>
      <w:start w:val="5"/>
    </w:lvl>
  </w:abstractNum>
  <w:abstractNum w:abstractNumId="136">
    <w:nsid w:val="3FC32E20"/>
    <w:multiLevelType w:val="hybridMultilevel"/>
    <w:lvl w:ilvl="0">
      <w:lvlJc w:val="left"/>
      <w:lvlText w:val="%1."/>
      <w:numFmt w:val="decimal"/>
      <w:start w:val="6"/>
    </w:lvl>
  </w:abstractNum>
  <w:abstractNum w:abstractNumId="137">
    <w:nsid w:val="49C0E823"/>
    <w:multiLevelType w:val="hybridMultilevel"/>
    <w:lvl w:ilvl="0">
      <w:lvlJc w:val="left"/>
      <w:lvlText w:val="%1."/>
      <w:numFmt w:val="decimal"/>
      <w:start w:val="8"/>
    </w:lvl>
  </w:abstractNum>
  <w:abstractNum w:abstractNumId="138">
    <w:nsid w:val="14D53685"/>
    <w:multiLevelType w:val="hybridMultilevel"/>
    <w:lvl w:ilvl="0">
      <w:lvlJc w:val="left"/>
      <w:lvlText w:val="%1."/>
      <w:numFmt w:val="decimal"/>
      <w:start w:val="9"/>
    </w:lvl>
  </w:abstractNum>
  <w:abstractNum w:abstractNumId="139">
    <w:nsid w:val="230F856C"/>
    <w:multiLevelType w:val="hybridMultilevel"/>
    <w:lvl w:ilvl="0">
      <w:lvlJc w:val="left"/>
      <w:lvlText w:val="%1."/>
      <w:numFmt w:val="decimal"/>
      <w:start w:val="10"/>
    </w:lvl>
  </w:abstractNum>
  <w:abstractNum w:abstractNumId="140">
    <w:nsid w:val="6EAA85FB"/>
    <w:multiLevelType w:val="hybridMultilevel"/>
    <w:lvl w:ilvl="0">
      <w:lvlJc w:val="left"/>
      <w:lvlText w:val="%1."/>
      <w:numFmt w:val="decimal"/>
      <w:start w:val="11"/>
    </w:lvl>
  </w:abstractNum>
  <w:abstractNum w:abstractNumId="141">
    <w:nsid w:val="3F06ECB2"/>
    <w:multiLevelType w:val="hybridMultilevel"/>
    <w:lvl w:ilvl="0">
      <w:lvlJc w:val="left"/>
      <w:lvlText w:val="%1."/>
      <w:numFmt w:val="decimal"/>
      <w:start w:val="12"/>
    </w:lvl>
  </w:abstractNum>
  <w:abstractNum w:abstractNumId="142">
    <w:nsid w:val="3B594807"/>
    <w:multiLevelType w:val="hybridMultilevel"/>
    <w:lvl w:ilvl="0">
      <w:lvlJc w:val="left"/>
      <w:lvlText w:val="%1."/>
      <w:numFmt w:val="decimal"/>
      <w:start w:val="12"/>
    </w:lvl>
  </w:abstractNum>
  <w:abstractNum w:abstractNumId="143">
    <w:nsid w:val="6CAA2304"/>
    <w:multiLevelType w:val="hybridMultilevel"/>
    <w:lvl w:ilvl="0">
      <w:lvlJc w:val="left"/>
      <w:lvlText w:val="%1."/>
      <w:numFmt w:val="decimal"/>
      <w:start w:val="12"/>
    </w:lvl>
  </w:abstractNum>
  <w:abstractNum w:abstractNumId="144">
    <w:nsid w:val="3F7C2FF4"/>
    <w:multiLevelType w:val="hybridMultilevel"/>
    <w:lvl w:ilvl="0">
      <w:lvlJc w:val="left"/>
      <w:lvlText w:val="%1."/>
      <w:numFmt w:val="decimal"/>
      <w:start w:val="12"/>
    </w:lvl>
  </w:abstractNum>
  <w:abstractNum w:abstractNumId="145">
    <w:nsid w:val="25413BEC"/>
    <w:multiLevelType w:val="hybridMultilevel"/>
    <w:lvl w:ilvl="0">
      <w:lvlJc w:val="left"/>
      <w:lvlText w:val="%1."/>
      <w:numFmt w:val="decimal"/>
      <w:start w:val="12"/>
    </w:lvl>
  </w:abstractNum>
  <w:abstractNum w:abstractNumId="146">
    <w:nsid w:val="17180B0B"/>
    <w:multiLevelType w:val="hybridMultilevel"/>
    <w:lvl w:ilvl="0">
      <w:lvlJc w:val="left"/>
      <w:lvlText w:val="%1."/>
      <w:numFmt w:val="decimal"/>
      <w:start w:val="13"/>
    </w:lvl>
  </w:abstractNum>
  <w:abstractNum w:abstractNumId="147">
    <w:nsid w:val="579328B9"/>
    <w:multiLevelType w:val="hybridMultilevel"/>
    <w:lvl w:ilvl="0">
      <w:lvlJc w:val="left"/>
      <w:lvlText w:val="%1."/>
      <w:numFmt w:val="decimal"/>
      <w:start w:val="14"/>
    </w:lvl>
  </w:abstractNum>
  <w:abstractNum w:abstractNumId="148">
    <w:nsid w:val="5D205E20"/>
    <w:multiLevelType w:val="hybridMultilevel"/>
    <w:lvl w:ilvl="0">
      <w:lvlJc w:val="left"/>
      <w:lvlText w:val="%1."/>
      <w:numFmt w:val="decimal"/>
      <w:start w:val="14"/>
    </w:lvl>
  </w:abstractNum>
  <w:abstractNum w:abstractNumId="149">
    <w:nsid w:val="11CCA8BA"/>
    <w:multiLevelType w:val="hybridMultilevel"/>
    <w:lvl w:ilvl="0">
      <w:lvlJc w:val="left"/>
      <w:lvlText w:val="%1."/>
      <w:numFmt w:val="decimal"/>
      <w:start w:val="14"/>
    </w:lvl>
  </w:abstractNum>
  <w:abstractNum w:abstractNumId="150">
    <w:nsid w:val="4D32AB86"/>
    <w:multiLevelType w:val="hybridMultilevel"/>
    <w:lvl w:ilvl="0">
      <w:lvlJc w:val="left"/>
      <w:lvlText w:val="%1."/>
      <w:numFmt w:val="decimal"/>
      <w:start w:val="14"/>
    </w:lvl>
  </w:abstractNum>
  <w:abstractNum w:abstractNumId="151">
    <w:nsid w:val="3F07ACC3"/>
    <w:multiLevelType w:val="hybridMultilevel"/>
    <w:lvl w:ilvl="0">
      <w:lvlJc w:val="left"/>
      <w:lvlText w:val="%1."/>
      <w:numFmt w:val="decimal"/>
      <w:start w:val="14"/>
    </w:lvl>
  </w:abstractNum>
  <w:abstractNum w:abstractNumId="152">
    <w:nsid w:val="6B47F63E"/>
    <w:multiLevelType w:val="hybridMultilevel"/>
    <w:lvl w:ilvl="0">
      <w:lvlJc w:val="left"/>
      <w:lvlText w:val="%1."/>
      <w:numFmt w:val="decimal"/>
      <w:start w:val="15"/>
    </w:lvl>
  </w:abstractNum>
  <w:abstractNum w:abstractNumId="153">
    <w:nsid w:val="5CB44A05"/>
    <w:multiLevelType w:val="hybridMultilevel"/>
    <w:lvl w:ilvl="0">
      <w:lvlJc w:val="left"/>
      <w:lvlText w:val="%1."/>
      <w:numFmt w:val="decimal"/>
      <w:start w:val="16"/>
    </w:lvl>
  </w:abstractNum>
  <w:abstractNum w:abstractNumId="154">
    <w:nsid w:val="16CF80F1"/>
    <w:multiLevelType w:val="hybridMultilevel"/>
    <w:lvl w:ilvl="0">
      <w:lvlJc w:val="left"/>
      <w:lvlText w:val="%1)"/>
      <w:numFmt w:val="lowerLetter"/>
      <w:start w:val="1"/>
    </w:lvl>
  </w:abstractNum>
  <w:abstractNum w:abstractNumId="155">
    <w:nsid w:val="1C695DEC"/>
    <w:multiLevelType w:val="hybridMultilevel"/>
    <w:lvl w:ilvl="0">
      <w:lvlJc w:val="left"/>
      <w:lvlText w:val="%1)"/>
      <w:numFmt w:val="lowerLetter"/>
      <w:start w:val="2"/>
    </w:lvl>
  </w:abstractNum>
  <w:abstractNum w:abstractNumId="156">
    <w:nsid w:val="3FCFAED9"/>
    <w:multiLevelType w:val="hybridMultilevel"/>
    <w:lvl w:ilvl="0">
      <w:lvlJc w:val="left"/>
      <w:lvlText w:val="%1."/>
      <w:numFmt w:val="decimal"/>
      <w:start w:val="17"/>
    </w:lvl>
  </w:abstractNum>
  <w:abstractNum w:abstractNumId="157">
    <w:nsid w:val="F856867"/>
    <w:multiLevelType w:val="hybridMultilevel"/>
    <w:lvl w:ilvl="0">
      <w:lvlJc w:val="left"/>
      <w:lvlText w:val="%1."/>
      <w:numFmt w:val="decimal"/>
      <w:start w:val="18"/>
    </w:lvl>
  </w:abstractNum>
  <w:abstractNum w:abstractNumId="158">
    <w:nsid w:val="11B1CC33"/>
    <w:multiLevelType w:val="hybridMultilevel"/>
    <w:lvl w:ilvl="0">
      <w:lvlJc w:val="left"/>
      <w:lvlText w:val="%1."/>
      <w:numFmt w:val="decimal"/>
      <w:start w:val="19"/>
    </w:lvl>
  </w:abstractNum>
  <w:abstractNum w:abstractNumId="159">
    <w:nsid w:val="2E22FBB7"/>
    <w:multiLevelType w:val="hybridMultilevel"/>
    <w:lvl w:ilvl="0">
      <w:lvlJc w:val="left"/>
      <w:lvlText w:val="%1."/>
      <w:numFmt w:val="decimal"/>
      <w:start w:val="19"/>
    </w:lvl>
  </w:abstractNum>
  <w:abstractNum w:abstractNumId="160">
    <w:nsid w:val="29934699"/>
    <w:multiLevelType w:val="hybridMultilevel"/>
    <w:lvl w:ilvl="0">
      <w:lvlJc w:val="left"/>
      <w:lvlText w:val="%1."/>
      <w:numFmt w:val="decimal"/>
      <w:start w:val="19"/>
    </w:lvl>
  </w:abstractNum>
  <w:abstractNum w:abstractNumId="161">
    <w:nsid w:val="77485850"/>
    <w:multiLevelType w:val="hybridMultilevel"/>
    <w:lvl w:ilvl="0">
      <w:lvlJc w:val="left"/>
      <w:lvlText w:val="%1."/>
      <w:numFmt w:val="decimal"/>
      <w:start w:val="19"/>
    </w:lvl>
  </w:abstractNum>
  <w:abstractNum w:abstractNumId="162">
    <w:nsid w:val="744939A3"/>
    <w:multiLevelType w:val="hybridMultilevel"/>
    <w:lvl w:ilvl="0">
      <w:lvlJc w:val="left"/>
      <w:lvlText w:val="%1."/>
      <w:numFmt w:val="decimal"/>
      <w:start w:val="1"/>
    </w:lvl>
    <w:lvl w:ilvl="1">
      <w:lvlJc w:val="left"/>
      <w:lvlText w:val="(%2)"/>
      <w:numFmt w:val="lowerLetter"/>
      <w:start w:val="1"/>
    </w:lvl>
  </w:abstractNum>
  <w:abstractNum w:abstractNumId="163">
    <w:nsid w:val="4FA0D2E3"/>
    <w:multiLevelType w:val="hybridMultilevel"/>
    <w:lvl w:ilvl="0">
      <w:lvlJc w:val="left"/>
      <w:lvlText w:val="%1."/>
      <w:numFmt w:val="decimal"/>
      <w:start w:val="1"/>
    </w:lvl>
    <w:lvl w:ilvl="1">
      <w:lvlJc w:val="left"/>
      <w:lvlText w:val="(%2)"/>
      <w:numFmt w:val="lowerLetter"/>
      <w:start w:val="1"/>
    </w:lvl>
  </w:abstractNum>
  <w:abstractNum w:abstractNumId="164">
    <w:nsid w:val="6B1D2C14"/>
    <w:multiLevelType w:val="hybridMultilevel"/>
    <w:lvl w:ilvl="0">
      <w:lvlJc w:val="left"/>
      <w:lvlText w:val="%1."/>
      <w:numFmt w:val="decimal"/>
      <w:start w:val="5"/>
    </w:lvl>
    <w:lvl w:ilvl="1">
      <w:lvlJc w:val="left"/>
      <w:lvlText w:val="(%2)"/>
      <w:numFmt w:val="lowerLetter"/>
      <w:start w:val="1"/>
    </w:lvl>
  </w:abstractNum>
  <w:abstractNum w:abstractNumId="165">
    <w:nsid w:val="68B867D3"/>
    <w:multiLevelType w:val="hybridMultilevel"/>
    <w:lvl w:ilvl="0">
      <w:lvlJc w:val="left"/>
      <w:lvlText w:val="%1."/>
      <w:numFmt w:val="decimal"/>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2"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jpeg"/><Relationship Id="rId306" Type="http://schemas.openxmlformats.org/officeDocument/2006/relationships/image" Target="media/image272.png"/><Relationship Id="rId198" Type="http://schemas.openxmlformats.org/officeDocument/2006/relationships/hyperlink" Target="http://www.sec.gov/Archives/edgar/data/1792267/000119312520149218/d806768dex32.htm" TargetMode="External"/><Relationship Id="rId199" Type="http://schemas.openxmlformats.org/officeDocument/2006/relationships/hyperlink" Target="http://www.sec.gov/Archives/edgar/data/1472033/000119380522001464/e617976_ex99-ai.htm" TargetMode="External"/><Relationship Id="rId200" Type="http://schemas.openxmlformats.org/officeDocument/2006/relationships/hyperlink" Target="http://www.sec.gov/Archives/edgar/data/1792267/000119312520149218/d806768dex42.htm" TargetMode="External"/><Relationship Id="rId201" Type="http://schemas.openxmlformats.org/officeDocument/2006/relationships/hyperlink" Target="http://www.sec.gov/Archives/edgar/data/1472033/000119380522001464/e617976_ex99-aii.htm" TargetMode="External"/><Relationship Id="rId202" Type="http://schemas.openxmlformats.org/officeDocument/2006/relationships/hyperlink" Target="http://www.sec.gov/Archives/edgar/data/1792267/000119312523108289/d323882dex24.htm" TargetMode="External"/><Relationship Id="rId203" Type="http://schemas.openxmlformats.org/officeDocument/2006/relationships/hyperlink" Target="http://www.sec.gov/Archives/edgar/data/1792267/000119312520149218/d806768dex101.htm" TargetMode="External"/><Relationship Id="rId204" Type="http://schemas.openxmlformats.org/officeDocument/2006/relationships/hyperlink" Target="http://www.sec.gov/Archives/edgar/data/1792267/000119312520149218/d806768dex102.htm" TargetMode="External"/><Relationship Id="rId205" Type="http://schemas.openxmlformats.org/officeDocument/2006/relationships/hyperlink" Target="http://www.sec.gov/Archives/edgar/data/1792267/000119312520149218/d806768dex103.htm" TargetMode="External"/><Relationship Id="rId206" Type="http://schemas.openxmlformats.org/officeDocument/2006/relationships/hyperlink" Target="http://www.sec.gov/Archives/edgar/data/1792267/000119312520149218/d806768dex104.htm" TargetMode="External"/><Relationship Id="rId207" Type="http://schemas.openxmlformats.org/officeDocument/2006/relationships/hyperlink" Target="http://www.sec.gov/Archives/edgar/data/1792267/000119312520149218/d806768dex105.htm" TargetMode="External"/><Relationship Id="rId208" Type="http://schemas.openxmlformats.org/officeDocument/2006/relationships/hyperlink" Target="http://www.sec.gov/Archives/edgar/data/1792267/000119312520149218/d806768dex106.htm" TargetMode="External"/><Relationship Id="rId209" Type="http://schemas.openxmlformats.org/officeDocument/2006/relationships/hyperlink" Target="http://www.sec.gov/Archives/edgar/data/1792267/000119312520149218/d806768dex107.htm" TargetMode="External"/><Relationship Id="rId210" Type="http://schemas.openxmlformats.org/officeDocument/2006/relationships/hyperlink" Target="http://www.sec.gov/Archives/edgar/data/1792267/000119312520149218/d806768dex108.htm" TargetMode="External"/><Relationship Id="rId211" Type="http://schemas.openxmlformats.org/officeDocument/2006/relationships/hyperlink" Target="http://www.sec.gov/Archives/edgar/data/1792267/000119312520149218/d806768dex109.htm" TargetMode="External"/><Relationship Id="rId213" Type="http://schemas.openxmlformats.org/officeDocument/2006/relationships/hyperlink" Target="http://www.sec.gov/Archives/edgar/data/1792267/000119312520149218/d806768dex1010.htm" TargetMode="External"/><Relationship Id="rId214" Type="http://schemas.openxmlformats.org/officeDocument/2006/relationships/hyperlink" Target="http://www.sec.gov/Archives/edgar/data/1792267/000119312520149218/d806768dex1011.htm" TargetMode="External"/><Relationship Id="rId215" Type="http://schemas.openxmlformats.org/officeDocument/2006/relationships/hyperlink" Target="http://www.sec.gov/Archives/edgar/data/1792267/000119312520149218/d806768dex1016.htm" TargetMode="External"/><Relationship Id="rId216" Type="http://schemas.openxmlformats.org/officeDocument/2006/relationships/hyperlink" Target="http://www.sec.gov/Archives/edgar/data/1792267/000119312520162074/d806768dex1013.htm" TargetMode="External"/><Relationship Id="rId217" Type="http://schemas.openxmlformats.org/officeDocument/2006/relationships/hyperlink" Target="http://www.sec.gov/Archives/edgar/data/1792267/000119312525101753/d937933dex414.htm" TargetMode="External"/><Relationship Id="rId218" Type="http://schemas.openxmlformats.org/officeDocument/2006/relationships/hyperlink" Target="http://www.sec.gov/Archives/edgar/data/1792267/000119312525101753/d937933dex415.htm" TargetMode="External"/><Relationship Id="rId219" Type="http://schemas.openxmlformats.org/officeDocument/2006/relationships/hyperlink" Target="http://www.sec.gov/Archives/edgar/data/1792267/000119312525101753/d937933dex416.htm" TargetMode="External"/><Relationship Id="rId220" Type="http://schemas.openxmlformats.org/officeDocument/2006/relationships/hyperlink" Target="http://www.sec.gov/Archives/edgar/data/1792267/000119312525101753/d937933dex417.htm" TargetMode="External"/><Relationship Id="rId221" Type="http://schemas.openxmlformats.org/officeDocument/2006/relationships/hyperlink" Target="http://www.sec.gov/Archives/edgar/data/1792267/000119312525101753/d937933dex418.htm" TargetMode="External"/><Relationship Id="rId222" Type="http://schemas.openxmlformats.org/officeDocument/2006/relationships/hyperlink" Target="http://www.sec.gov/Archives/edgar/data/1792267/000119312525101753/d937933dex419.htm" TargetMode="External"/><Relationship Id="rId223" Type="http://schemas.openxmlformats.org/officeDocument/2006/relationships/hyperlink" Target="http://www.sec.gov/Archives/edgar/data/1792267/000119312520149218/d806768dex991.htm" TargetMode="External"/><Relationship Id="rId224" Type="http://schemas.openxmlformats.org/officeDocument/2006/relationships/hyperlink" Target="http://www.sec.gov/Archives/edgar/data/1792267/000119312525101753/d937933dex112.htm" TargetMode="External"/><Relationship Id="rId225" Type="http://schemas.openxmlformats.org/officeDocument/2006/relationships/hyperlink" Target="http://www.sec.gov/Archives/edgar/data/1792267/000119312524119655/d738269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2026-04-28T05:54:37Z</dcterms:created>
  <dcterms:modified xsi:type="dcterms:W3CDTF">2026-04-28T05:54:37Z</dcterms:modified>
</cp:coreProperties>
</file>